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dxa"/>
        <w:tblCellMar>
          <w:left w:w="0" w:type="dxa"/>
          <w:right w:w="0" w:type="dxa"/>
        </w:tblCellMar>
        <w:tblLook w:val="04A0" w:firstRow="1" w:lastRow="0" w:firstColumn="1" w:lastColumn="0" w:noHBand="0" w:noVBand="1"/>
      </w:tblPr>
      <w:tblGrid>
        <w:gridCol w:w="3185"/>
        <w:gridCol w:w="5677"/>
      </w:tblGrid>
      <w:tr w:rsidR="002C7640" w:rsidRPr="002C7640" w:rsidTr="002C7640">
        <w:trPr>
          <w:tblCellSpacing w:w="0" w:type="dxa"/>
        </w:trPr>
        <w:tc>
          <w:tcPr>
            <w:tcW w:w="3185" w:type="dxa"/>
            <w:tcMar>
              <w:top w:w="0" w:type="dxa"/>
              <w:left w:w="108" w:type="dxa"/>
              <w:bottom w:w="0" w:type="dxa"/>
              <w:right w:w="108" w:type="dxa"/>
            </w:tcMar>
            <w:hideMark/>
          </w:tcPr>
          <w:p w:rsidR="002C7640" w:rsidRPr="002C7640" w:rsidRDefault="002C7640" w:rsidP="002C7640">
            <w:pPr>
              <w:spacing w:before="120" w:after="100" w:afterAutospacing="1" w:line="240" w:lineRule="auto"/>
              <w:jc w:val="center"/>
              <w:rPr>
                <w:rFonts w:ascii="Times New Roman" w:eastAsia="Times New Roman" w:hAnsi="Times New Roman" w:cs="Times New Roman"/>
                <w:sz w:val="24"/>
                <w:szCs w:val="24"/>
              </w:rPr>
            </w:pPr>
            <w:r w:rsidRPr="002C7640">
              <w:rPr>
                <w:rFonts w:ascii="Times New Roman" w:eastAsia="Times New Roman" w:hAnsi="Times New Roman" w:cs="Times New Roman"/>
                <w:b/>
                <w:bCs/>
                <w:sz w:val="24"/>
                <w:szCs w:val="24"/>
                <w:lang w:val="vi-VN"/>
              </w:rPr>
              <w:t>QU</w:t>
            </w:r>
            <w:r w:rsidRPr="002C7640">
              <w:rPr>
                <w:rFonts w:ascii="Times New Roman" w:eastAsia="Times New Roman" w:hAnsi="Times New Roman" w:cs="Times New Roman"/>
                <w:b/>
                <w:bCs/>
                <w:sz w:val="24"/>
                <w:szCs w:val="24"/>
              </w:rPr>
              <w:t>Ố</w:t>
            </w:r>
            <w:r w:rsidRPr="002C7640">
              <w:rPr>
                <w:rFonts w:ascii="Times New Roman" w:eastAsia="Times New Roman" w:hAnsi="Times New Roman" w:cs="Times New Roman"/>
                <w:b/>
                <w:bCs/>
                <w:sz w:val="24"/>
                <w:szCs w:val="24"/>
                <w:lang w:val="vi-VN"/>
              </w:rPr>
              <w:t>C HỘI</w:t>
            </w:r>
            <w:r w:rsidRPr="002C7640">
              <w:rPr>
                <w:rFonts w:ascii="Times New Roman" w:eastAsia="Times New Roman" w:hAnsi="Times New Roman" w:cs="Times New Roman"/>
                <w:b/>
                <w:bCs/>
                <w:sz w:val="24"/>
                <w:szCs w:val="24"/>
                <w:lang w:val="vi-VN"/>
              </w:rPr>
              <w:br/>
            </w:r>
            <w:r w:rsidRPr="002C7640">
              <w:rPr>
                <w:rFonts w:ascii="Times New Roman" w:eastAsia="Times New Roman" w:hAnsi="Times New Roman" w:cs="Times New Roman"/>
                <w:b/>
                <w:bCs/>
                <w:sz w:val="24"/>
                <w:szCs w:val="24"/>
              </w:rPr>
              <w:t>-------</w:t>
            </w:r>
          </w:p>
        </w:tc>
        <w:tc>
          <w:tcPr>
            <w:tcW w:w="5677" w:type="dxa"/>
            <w:tcMar>
              <w:top w:w="0" w:type="dxa"/>
              <w:left w:w="108" w:type="dxa"/>
              <w:bottom w:w="0" w:type="dxa"/>
              <w:right w:w="108" w:type="dxa"/>
            </w:tcMar>
            <w:hideMark/>
          </w:tcPr>
          <w:p w:rsidR="002C7640" w:rsidRPr="002C7640" w:rsidRDefault="002C7640" w:rsidP="002C7640">
            <w:pPr>
              <w:spacing w:before="120" w:after="100" w:afterAutospacing="1" w:line="240" w:lineRule="auto"/>
              <w:jc w:val="center"/>
              <w:rPr>
                <w:rFonts w:ascii="Times New Roman" w:eastAsia="Times New Roman" w:hAnsi="Times New Roman" w:cs="Times New Roman"/>
                <w:sz w:val="24"/>
                <w:szCs w:val="24"/>
              </w:rPr>
            </w:pPr>
            <w:r w:rsidRPr="002C7640">
              <w:rPr>
                <w:rFonts w:ascii="Times New Roman" w:eastAsia="Times New Roman" w:hAnsi="Times New Roman" w:cs="Times New Roman"/>
                <w:b/>
                <w:bCs/>
                <w:sz w:val="24"/>
                <w:szCs w:val="24"/>
                <w:lang w:val="vi-VN"/>
              </w:rPr>
              <w:t>CỘNG HÒA XÃ HỘI CHỦ NGHĨA VIỆT NAM</w:t>
            </w:r>
            <w:r w:rsidRPr="002C7640">
              <w:rPr>
                <w:rFonts w:ascii="Times New Roman" w:eastAsia="Times New Roman" w:hAnsi="Times New Roman" w:cs="Times New Roman"/>
                <w:b/>
                <w:bCs/>
                <w:sz w:val="24"/>
                <w:szCs w:val="24"/>
                <w:lang w:val="vi-VN"/>
              </w:rPr>
              <w:br/>
              <w:t>Độc lập - Tự do - Hạnh phúc</w:t>
            </w:r>
            <w:r w:rsidRPr="002C7640">
              <w:rPr>
                <w:rFonts w:ascii="Times New Roman" w:eastAsia="Times New Roman" w:hAnsi="Times New Roman" w:cs="Times New Roman"/>
                <w:b/>
                <w:bCs/>
                <w:sz w:val="24"/>
                <w:szCs w:val="24"/>
                <w:lang w:val="vi-VN"/>
              </w:rPr>
              <w:br/>
              <w:t>----------------</w:t>
            </w:r>
          </w:p>
        </w:tc>
      </w:tr>
      <w:tr w:rsidR="002C7640" w:rsidRPr="002C7640" w:rsidTr="002C7640">
        <w:trPr>
          <w:tblCellSpacing w:w="0" w:type="dxa"/>
        </w:trPr>
        <w:tc>
          <w:tcPr>
            <w:tcW w:w="3185" w:type="dxa"/>
            <w:tcMar>
              <w:top w:w="0" w:type="dxa"/>
              <w:left w:w="108" w:type="dxa"/>
              <w:bottom w:w="0" w:type="dxa"/>
              <w:right w:w="108" w:type="dxa"/>
            </w:tcMar>
            <w:hideMark/>
          </w:tcPr>
          <w:p w:rsidR="002C7640" w:rsidRPr="002C7640" w:rsidRDefault="002C7640" w:rsidP="002C7640">
            <w:pPr>
              <w:spacing w:before="120" w:after="100" w:afterAutospacing="1" w:line="240" w:lineRule="auto"/>
              <w:jc w:val="center"/>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Luật số: 56/2020/QH14</w:t>
            </w:r>
          </w:p>
        </w:tc>
        <w:tc>
          <w:tcPr>
            <w:tcW w:w="5677" w:type="dxa"/>
            <w:tcMar>
              <w:top w:w="0" w:type="dxa"/>
              <w:left w:w="108" w:type="dxa"/>
              <w:bottom w:w="0" w:type="dxa"/>
              <w:right w:w="108" w:type="dxa"/>
            </w:tcMar>
            <w:hideMark/>
          </w:tcPr>
          <w:p w:rsidR="002C7640" w:rsidRPr="002C7640" w:rsidRDefault="002C7640" w:rsidP="002C7640">
            <w:pPr>
              <w:spacing w:before="120" w:after="100" w:afterAutospacing="1" w:line="240" w:lineRule="auto"/>
              <w:jc w:val="right"/>
              <w:rPr>
                <w:rFonts w:ascii="Times New Roman" w:eastAsia="Times New Roman" w:hAnsi="Times New Roman" w:cs="Times New Roman"/>
                <w:sz w:val="24"/>
                <w:szCs w:val="24"/>
              </w:rPr>
            </w:pPr>
            <w:r w:rsidRPr="002C7640">
              <w:rPr>
                <w:rFonts w:ascii="Times New Roman" w:eastAsia="Times New Roman" w:hAnsi="Times New Roman" w:cs="Times New Roman"/>
                <w:i/>
                <w:iCs/>
                <w:sz w:val="24"/>
                <w:szCs w:val="24"/>
              </w:rPr>
              <w:t>Hà Nội</w:t>
            </w:r>
            <w:r w:rsidRPr="002C7640">
              <w:rPr>
                <w:rFonts w:ascii="Times New Roman" w:eastAsia="Times New Roman" w:hAnsi="Times New Roman" w:cs="Times New Roman"/>
                <w:i/>
                <w:iCs/>
                <w:sz w:val="24"/>
                <w:szCs w:val="24"/>
                <w:lang w:val="vi-VN"/>
              </w:rPr>
              <w:t xml:space="preserve">, ngày </w:t>
            </w:r>
            <w:r w:rsidRPr="002C7640">
              <w:rPr>
                <w:rFonts w:ascii="Times New Roman" w:eastAsia="Times New Roman" w:hAnsi="Times New Roman" w:cs="Times New Roman"/>
                <w:i/>
                <w:iCs/>
                <w:sz w:val="24"/>
                <w:szCs w:val="24"/>
              </w:rPr>
              <w:t>10</w:t>
            </w:r>
            <w:r w:rsidRPr="002C7640">
              <w:rPr>
                <w:rFonts w:ascii="Times New Roman" w:eastAsia="Times New Roman" w:hAnsi="Times New Roman" w:cs="Times New Roman"/>
                <w:i/>
                <w:iCs/>
                <w:sz w:val="24"/>
                <w:szCs w:val="24"/>
                <w:lang w:val="vi-VN"/>
              </w:rPr>
              <w:t xml:space="preserve"> tháng</w:t>
            </w:r>
            <w:r w:rsidRPr="002C7640">
              <w:rPr>
                <w:rFonts w:ascii="Times New Roman" w:eastAsia="Times New Roman" w:hAnsi="Times New Roman" w:cs="Times New Roman"/>
                <w:i/>
                <w:iCs/>
                <w:sz w:val="24"/>
                <w:szCs w:val="24"/>
              </w:rPr>
              <w:t xml:space="preserve"> 06</w:t>
            </w:r>
            <w:r w:rsidRPr="002C7640">
              <w:rPr>
                <w:rFonts w:ascii="Times New Roman" w:eastAsia="Times New Roman" w:hAnsi="Times New Roman" w:cs="Times New Roman"/>
                <w:i/>
                <w:iCs/>
                <w:sz w:val="24"/>
                <w:szCs w:val="24"/>
                <w:lang w:val="vi-VN"/>
              </w:rPr>
              <w:t xml:space="preserve"> năm </w:t>
            </w:r>
            <w:r w:rsidRPr="002C7640">
              <w:rPr>
                <w:rFonts w:ascii="Times New Roman" w:eastAsia="Times New Roman" w:hAnsi="Times New Roman" w:cs="Times New Roman"/>
                <w:i/>
                <w:iCs/>
                <w:sz w:val="24"/>
                <w:szCs w:val="24"/>
              </w:rPr>
              <w:t>2020</w:t>
            </w:r>
          </w:p>
        </w:tc>
      </w:tr>
    </w:tbl>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 </w:t>
      </w:r>
    </w:p>
    <w:p w:rsidR="002C7640" w:rsidRPr="002C7640" w:rsidRDefault="002C7640" w:rsidP="002C7640">
      <w:pPr>
        <w:spacing w:before="120" w:after="100" w:afterAutospacing="1" w:line="240" w:lineRule="auto"/>
        <w:jc w:val="center"/>
        <w:rPr>
          <w:rFonts w:ascii="Times New Roman" w:eastAsia="Times New Roman" w:hAnsi="Times New Roman" w:cs="Times New Roman"/>
          <w:sz w:val="24"/>
          <w:szCs w:val="24"/>
        </w:rPr>
      </w:pPr>
      <w:bookmarkStart w:id="0" w:name="loai_1"/>
      <w:r w:rsidRPr="002C7640">
        <w:rPr>
          <w:rFonts w:ascii="Times New Roman" w:eastAsia="Times New Roman" w:hAnsi="Times New Roman" w:cs="Times New Roman"/>
          <w:b/>
          <w:bCs/>
          <w:sz w:val="24"/>
          <w:szCs w:val="24"/>
          <w:lang w:val="vi-VN"/>
        </w:rPr>
        <w:t>LUẬT</w:t>
      </w:r>
      <w:r w:rsidRPr="002C7640">
        <w:rPr>
          <w:rFonts w:ascii="Times New Roman" w:eastAsia="Times New Roman" w:hAnsi="Times New Roman" w:cs="Times New Roman"/>
          <w:sz w:val="24"/>
          <w:szCs w:val="24"/>
        </w:rPr>
        <w:t xml:space="preserve"> </w:t>
      </w:r>
      <w:bookmarkEnd w:id="0"/>
    </w:p>
    <w:p w:rsidR="002C7640" w:rsidRPr="002C7640" w:rsidRDefault="002C7640" w:rsidP="002C7640">
      <w:pPr>
        <w:spacing w:before="120" w:after="100" w:afterAutospacing="1" w:line="240" w:lineRule="auto"/>
        <w:jc w:val="center"/>
        <w:rPr>
          <w:rFonts w:ascii="Times New Roman" w:eastAsia="Times New Roman" w:hAnsi="Times New Roman" w:cs="Times New Roman"/>
          <w:sz w:val="24"/>
          <w:szCs w:val="24"/>
        </w:rPr>
      </w:pPr>
      <w:bookmarkStart w:id="1" w:name="loai_1_name"/>
      <w:r w:rsidRPr="002C7640">
        <w:rPr>
          <w:rFonts w:ascii="Times New Roman" w:eastAsia="Times New Roman" w:hAnsi="Times New Roman" w:cs="Times New Roman"/>
          <w:sz w:val="24"/>
          <w:szCs w:val="24"/>
          <w:lang w:val="vi-VN"/>
        </w:rPr>
        <w:t>SỬA ĐỔI, BỔ SUNG MỘT SỐ ĐIỀU CỦA LUẬT GIÁM ĐỊNH TƯ PHÁP</w:t>
      </w:r>
      <w:r w:rsidRPr="002C7640">
        <w:rPr>
          <w:rFonts w:ascii="Times New Roman" w:eastAsia="Times New Roman" w:hAnsi="Times New Roman" w:cs="Times New Roman"/>
          <w:sz w:val="24"/>
          <w:szCs w:val="24"/>
        </w:rPr>
        <w:t xml:space="preserve"> </w:t>
      </w:r>
      <w:bookmarkEnd w:id="1"/>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i/>
          <w:iCs/>
          <w:sz w:val="24"/>
          <w:szCs w:val="24"/>
          <w:lang w:val="vi-VN"/>
        </w:rPr>
        <w:t>Căn cứ Hiến pháp nước Cộng hòa xã hội chủ nghĩa Việt Nam;</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i/>
          <w:iCs/>
          <w:sz w:val="24"/>
          <w:szCs w:val="24"/>
          <w:lang w:val="vi-VN"/>
        </w:rPr>
        <w:t>Quốc hội ban hành Luật sửa đổi, bổ sung một số điều của Luật Giám định tư pháp số 13/2012/QH13 đã được sửa đổi, bổ sung một số điều theo Luật số 35/2018/QH14.</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2" w:name="dieu_1"/>
      <w:r w:rsidRPr="002C7640">
        <w:rPr>
          <w:rFonts w:ascii="Times New Roman" w:eastAsia="Times New Roman" w:hAnsi="Times New Roman" w:cs="Times New Roman"/>
          <w:b/>
          <w:bCs/>
          <w:sz w:val="24"/>
          <w:szCs w:val="24"/>
          <w:lang w:val="vi-VN"/>
        </w:rPr>
        <w:t>Điều 1. Sửa đổi, bổ sung một số điều của Luật Giám định tư pháp</w:t>
      </w:r>
      <w:r w:rsidRPr="002C7640">
        <w:rPr>
          <w:rFonts w:ascii="Times New Roman" w:eastAsia="Times New Roman" w:hAnsi="Times New Roman" w:cs="Times New Roman"/>
          <w:sz w:val="24"/>
          <w:szCs w:val="24"/>
        </w:rPr>
        <w:t xml:space="preserve"> </w:t>
      </w:r>
      <w:bookmarkEnd w:id="2"/>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3" w:name="dieu_1_1"/>
      <w:r w:rsidRPr="002C7640">
        <w:rPr>
          <w:rFonts w:ascii="Times New Roman" w:eastAsia="Times New Roman" w:hAnsi="Times New Roman" w:cs="Times New Roman"/>
          <w:sz w:val="24"/>
          <w:szCs w:val="24"/>
          <w:lang w:val="vi-VN"/>
        </w:rPr>
        <w:t>1. Sửa đổi, bổ sung các</w:t>
      </w:r>
      <w:r w:rsidRPr="002C7640">
        <w:rPr>
          <w:rFonts w:ascii="Times New Roman" w:eastAsia="Times New Roman" w:hAnsi="Times New Roman" w:cs="Times New Roman"/>
          <w:sz w:val="24"/>
          <w:szCs w:val="24"/>
        </w:rPr>
        <w:t xml:space="preserve"> </w:t>
      </w:r>
      <w:bookmarkStart w:id="4" w:name="dc_1"/>
      <w:bookmarkEnd w:id="3"/>
      <w:r w:rsidRPr="002C7640">
        <w:rPr>
          <w:rFonts w:ascii="Times New Roman" w:eastAsia="Times New Roman" w:hAnsi="Times New Roman" w:cs="Times New Roman"/>
          <w:sz w:val="24"/>
          <w:szCs w:val="24"/>
          <w:lang w:val="vi-VN"/>
        </w:rPr>
        <w:t xml:space="preserve">khoản 1, 2 và 3 Điều 2 </w:t>
      </w:r>
      <w:bookmarkStart w:id="5" w:name="dieu_1_1_name"/>
      <w:bookmarkEnd w:id="4"/>
      <w:r w:rsidRPr="002C7640">
        <w:rPr>
          <w:rFonts w:ascii="Times New Roman" w:eastAsia="Times New Roman" w:hAnsi="Times New Roman" w:cs="Times New Roman"/>
          <w:sz w:val="24"/>
          <w:szCs w:val="24"/>
          <w:lang w:val="vi-VN"/>
        </w:rPr>
        <w:t xml:space="preserve">như sau; </w:t>
      </w:r>
      <w:bookmarkEnd w:id="5"/>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 xml:space="preserve">“1. </w:t>
      </w:r>
      <w:r w:rsidRPr="002C7640">
        <w:rPr>
          <w:rFonts w:ascii="Times New Roman" w:eastAsia="Times New Roman" w:hAnsi="Times New Roman" w:cs="Times New Roman"/>
          <w:i/>
          <w:iCs/>
          <w:sz w:val="24"/>
          <w:szCs w:val="24"/>
          <w:lang w:val="vi-VN"/>
        </w:rPr>
        <w:t>Giám định tư pháp</w:t>
      </w:r>
      <w:r w:rsidRPr="002C7640">
        <w:rPr>
          <w:rFonts w:ascii="Times New Roman" w:eastAsia="Times New Roman" w:hAnsi="Times New Roman" w:cs="Times New Roman"/>
          <w:sz w:val="24"/>
          <w:szCs w:val="24"/>
          <w:lang w:val="vi-VN"/>
        </w:rPr>
        <w:t xml:space="preserve"> là việc người giám định tư pháp sử dụng kiến thức, phương tiện, phương pháp khoa học, kỹ thuật, nghiệp vụ để kết luận về chuyên môn những vấn đề có liên quan đến hoạt động khởi tố, điều tra, truy tố, xét xử và thi hành án hình sự, giải quyết vụ việc dân sự, vụ án hành chính theo trưng cầu của cơ quan có thẩm quyền tiến hành tố tụng, người có thẩm quyền tiến hành tố tụng hoặc theo yêu cầu của người yêu cầu giám định theo quy định của Luật này.</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 xml:space="preserve">2. </w:t>
      </w:r>
      <w:r w:rsidRPr="002C7640">
        <w:rPr>
          <w:rFonts w:ascii="Times New Roman" w:eastAsia="Times New Roman" w:hAnsi="Times New Roman" w:cs="Times New Roman"/>
          <w:i/>
          <w:iCs/>
          <w:sz w:val="24"/>
          <w:szCs w:val="24"/>
          <w:lang w:val="vi-VN"/>
        </w:rPr>
        <w:t>Người trưng cầu giám định</w:t>
      </w:r>
      <w:r w:rsidRPr="002C7640">
        <w:rPr>
          <w:rFonts w:ascii="Times New Roman" w:eastAsia="Times New Roman" w:hAnsi="Times New Roman" w:cs="Times New Roman"/>
          <w:sz w:val="24"/>
          <w:szCs w:val="24"/>
          <w:lang w:val="vi-VN"/>
        </w:rPr>
        <w:t xml:space="preserve"> bao gồm cơ quan có thẩm quyền tiến hành tố tụng, người có thẩm quyền tiến hành tố tụng.</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 xml:space="preserve">3. </w:t>
      </w:r>
      <w:r w:rsidRPr="002C7640">
        <w:rPr>
          <w:rFonts w:ascii="Times New Roman" w:eastAsia="Times New Roman" w:hAnsi="Times New Roman" w:cs="Times New Roman"/>
          <w:i/>
          <w:iCs/>
          <w:sz w:val="24"/>
          <w:szCs w:val="24"/>
          <w:lang w:val="vi-VN"/>
        </w:rPr>
        <w:t>Người yêu cầu giám định</w:t>
      </w:r>
      <w:r w:rsidRPr="002C7640">
        <w:rPr>
          <w:rFonts w:ascii="Times New Roman" w:eastAsia="Times New Roman" w:hAnsi="Times New Roman" w:cs="Times New Roman"/>
          <w:sz w:val="24"/>
          <w:szCs w:val="24"/>
          <w:lang w:val="vi-VN"/>
        </w:rPr>
        <w:t xml:space="preserve"> là người có quyền tự mình yêu cầu giám định sau khi đã đề nghị cơ quan có thẩm quyền tiến hành tố tụng, người có thẩm quyền tiến hành tố tụng trưng cầu giám định mà không được chấp nhận. Người có quyền tự mình yêu cầu giám định bao gồm đương sự trong vụ việc dân sự, vụ án hành chính, nguyên đơn dân sự, bị đơn dân sự, người có quyền lợi, nghĩa vụ liên quan trong vụ án hình sự hoặc người đại diện hợp pháp của họ, trừ trường hợp việc yêu cầu giám định liên quan đến việc xác định trách nhiệm hình sự của bị can, bị cáo.”.</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6" w:name="dieu_2"/>
      <w:r w:rsidRPr="002C7640">
        <w:rPr>
          <w:rFonts w:ascii="Times New Roman" w:eastAsia="Times New Roman" w:hAnsi="Times New Roman" w:cs="Times New Roman"/>
          <w:sz w:val="24"/>
          <w:szCs w:val="24"/>
          <w:lang w:val="vi-VN"/>
        </w:rPr>
        <w:t>2. Sửa đổi, bổ sung</w:t>
      </w:r>
      <w:r w:rsidRPr="002C7640">
        <w:rPr>
          <w:rFonts w:ascii="Times New Roman" w:eastAsia="Times New Roman" w:hAnsi="Times New Roman" w:cs="Times New Roman"/>
          <w:sz w:val="24"/>
          <w:szCs w:val="24"/>
        </w:rPr>
        <w:t xml:space="preserve"> </w:t>
      </w:r>
      <w:bookmarkStart w:id="7" w:name="dc_2"/>
      <w:bookmarkEnd w:id="6"/>
      <w:r w:rsidRPr="002C7640">
        <w:rPr>
          <w:rFonts w:ascii="Times New Roman" w:eastAsia="Times New Roman" w:hAnsi="Times New Roman" w:cs="Times New Roman"/>
          <w:sz w:val="24"/>
          <w:szCs w:val="24"/>
          <w:lang w:val="vi-VN"/>
        </w:rPr>
        <w:t xml:space="preserve">khoản 1 Điều 3 </w:t>
      </w:r>
      <w:bookmarkStart w:id="8" w:name="dieu_2_name"/>
      <w:bookmarkEnd w:id="7"/>
      <w:r w:rsidRPr="002C7640">
        <w:rPr>
          <w:rFonts w:ascii="Times New Roman" w:eastAsia="Times New Roman" w:hAnsi="Times New Roman" w:cs="Times New Roman"/>
          <w:sz w:val="24"/>
          <w:szCs w:val="24"/>
          <w:lang w:val="vi-VN"/>
        </w:rPr>
        <w:t xml:space="preserve">như sau: </w:t>
      </w:r>
      <w:bookmarkEnd w:id="8"/>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“1. Tuân thủ pháp luật, tuân theo quy chuẩn chuyên môn và quy trình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9" w:name="dieu_3"/>
      <w:r w:rsidRPr="002C7640">
        <w:rPr>
          <w:rFonts w:ascii="Times New Roman" w:eastAsia="Times New Roman" w:hAnsi="Times New Roman" w:cs="Times New Roman"/>
          <w:sz w:val="24"/>
          <w:szCs w:val="24"/>
          <w:lang w:val="vi-VN"/>
        </w:rPr>
        <w:t>3. Sửa đổi, bổ sung</w:t>
      </w:r>
      <w:r w:rsidRPr="002C7640">
        <w:rPr>
          <w:rFonts w:ascii="Times New Roman" w:eastAsia="Times New Roman" w:hAnsi="Times New Roman" w:cs="Times New Roman"/>
          <w:sz w:val="24"/>
          <w:szCs w:val="24"/>
        </w:rPr>
        <w:t xml:space="preserve"> </w:t>
      </w:r>
      <w:bookmarkStart w:id="10" w:name="dc_3"/>
      <w:bookmarkEnd w:id="9"/>
      <w:r w:rsidRPr="002C7640">
        <w:rPr>
          <w:rFonts w:ascii="Times New Roman" w:eastAsia="Times New Roman" w:hAnsi="Times New Roman" w:cs="Times New Roman"/>
          <w:sz w:val="24"/>
          <w:szCs w:val="24"/>
          <w:lang w:val="vi-VN"/>
        </w:rPr>
        <w:t xml:space="preserve">khoản 3 Điều 6 </w:t>
      </w:r>
      <w:bookmarkStart w:id="11" w:name="dieu_3_name"/>
      <w:bookmarkEnd w:id="10"/>
      <w:r w:rsidRPr="002C7640">
        <w:rPr>
          <w:rFonts w:ascii="Times New Roman" w:eastAsia="Times New Roman" w:hAnsi="Times New Roman" w:cs="Times New Roman"/>
          <w:sz w:val="24"/>
          <w:szCs w:val="24"/>
          <w:lang w:val="vi-VN"/>
        </w:rPr>
        <w:t xml:space="preserve">như sau: </w:t>
      </w:r>
      <w:bookmarkEnd w:id="11"/>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“3. Cố ý kéo dài thời gian thực hiện giám định tư pháp hoặc lợi dụng việc trưng cầu, yêu cầu giám định tư pháp để gây khó khăn, cản trở hoạt động tố tụng.”.</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12" w:name="dieu_4"/>
      <w:r w:rsidRPr="002C7640">
        <w:rPr>
          <w:rFonts w:ascii="Times New Roman" w:eastAsia="Times New Roman" w:hAnsi="Times New Roman" w:cs="Times New Roman"/>
          <w:sz w:val="24"/>
          <w:szCs w:val="24"/>
          <w:lang w:val="vi-VN"/>
        </w:rPr>
        <w:t>4. Sửa đổi, bổ sung một số khoản của</w:t>
      </w:r>
      <w:r w:rsidRPr="002C7640">
        <w:rPr>
          <w:rFonts w:ascii="Times New Roman" w:eastAsia="Times New Roman" w:hAnsi="Times New Roman" w:cs="Times New Roman"/>
          <w:sz w:val="24"/>
          <w:szCs w:val="24"/>
        </w:rPr>
        <w:t xml:space="preserve"> </w:t>
      </w:r>
      <w:bookmarkStart w:id="13" w:name="dc_4"/>
      <w:bookmarkEnd w:id="12"/>
      <w:r w:rsidRPr="002C7640">
        <w:rPr>
          <w:rFonts w:ascii="Times New Roman" w:eastAsia="Times New Roman" w:hAnsi="Times New Roman" w:cs="Times New Roman"/>
          <w:sz w:val="24"/>
          <w:szCs w:val="24"/>
          <w:lang w:val="vi-VN"/>
        </w:rPr>
        <w:t xml:space="preserve">Điều 8 </w:t>
      </w:r>
      <w:bookmarkStart w:id="14" w:name="dieu_4_name"/>
      <w:bookmarkEnd w:id="13"/>
      <w:r w:rsidRPr="002C7640">
        <w:rPr>
          <w:rFonts w:ascii="Times New Roman" w:eastAsia="Times New Roman" w:hAnsi="Times New Roman" w:cs="Times New Roman"/>
          <w:sz w:val="24"/>
          <w:szCs w:val="24"/>
          <w:lang w:val="vi-VN"/>
        </w:rPr>
        <w:t xml:space="preserve">như sau: </w:t>
      </w:r>
      <w:bookmarkEnd w:id="14"/>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 xml:space="preserve">a) Sửa đổi, bổ sung </w:t>
      </w:r>
      <w:bookmarkStart w:id="15" w:name="dc_5"/>
      <w:r w:rsidRPr="002C7640">
        <w:rPr>
          <w:rFonts w:ascii="Times New Roman" w:eastAsia="Times New Roman" w:hAnsi="Times New Roman" w:cs="Times New Roman"/>
          <w:sz w:val="24"/>
          <w:szCs w:val="24"/>
          <w:lang w:val="vi-VN"/>
        </w:rPr>
        <w:t xml:space="preserve">khoản 1 </w:t>
      </w:r>
      <w:bookmarkEnd w:id="15"/>
      <w:r w:rsidRPr="002C7640">
        <w:rPr>
          <w:rFonts w:ascii="Times New Roman" w:eastAsia="Times New Roman" w:hAnsi="Times New Roman" w:cs="Times New Roman"/>
          <w:sz w:val="24"/>
          <w:szCs w:val="24"/>
          <w:lang w:val="vi-VN"/>
        </w:rPr>
        <w:t>như sau:</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“1. Văn bản đề nghị bổ nhiệm giám định viên tư pháp của cơ quan, tổ chức có thẩm quyền đề nghị quy định tại khoản 2 Điều 9 của Luật này hoặc đơn đề nghị bổ nhiệm giám định viên tư pháp của cá nhân đã là giám định viên tư pháp nhưng bị miễn nhiệm do nghỉ hưu hoặc thôi việc để thành lập Văn phòng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 xml:space="preserve">b) Sửa đổi, bổ sung </w:t>
      </w:r>
      <w:bookmarkStart w:id="16" w:name="dc_6"/>
      <w:r w:rsidRPr="002C7640">
        <w:rPr>
          <w:rFonts w:ascii="Times New Roman" w:eastAsia="Times New Roman" w:hAnsi="Times New Roman" w:cs="Times New Roman"/>
          <w:sz w:val="24"/>
          <w:szCs w:val="24"/>
          <w:lang w:val="vi-VN"/>
        </w:rPr>
        <w:t xml:space="preserve">khoản 3 </w:t>
      </w:r>
      <w:bookmarkEnd w:id="16"/>
      <w:r w:rsidRPr="002C7640">
        <w:rPr>
          <w:rFonts w:ascii="Times New Roman" w:eastAsia="Times New Roman" w:hAnsi="Times New Roman" w:cs="Times New Roman"/>
          <w:sz w:val="24"/>
          <w:szCs w:val="24"/>
          <w:lang w:val="vi-VN"/>
        </w:rPr>
        <w:t>như sau:</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lastRenderedPageBreak/>
        <w:t>“3. Sơ yếu lý lịch và Phiếu lý lịch tư pháp. Trường hợp người được đề nghị bổ nhiệm giám định viên tư pháp đang là công chức, viên chức, sĩ quan quân đội, sĩ quan công an nhân dân, quân nhân chuyên nghiệp, công nhân quốc phòng thì không cần có Phiếu lý lịch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17" w:name="dieu_5"/>
      <w:r w:rsidRPr="002C7640">
        <w:rPr>
          <w:rFonts w:ascii="Times New Roman" w:eastAsia="Times New Roman" w:hAnsi="Times New Roman" w:cs="Times New Roman"/>
          <w:sz w:val="24"/>
          <w:szCs w:val="24"/>
          <w:lang w:val="vi-VN"/>
        </w:rPr>
        <w:t>5. Sửa đổi, bổ sung tên điều và một số khoản của</w:t>
      </w:r>
      <w:r w:rsidRPr="002C7640">
        <w:rPr>
          <w:rFonts w:ascii="Times New Roman" w:eastAsia="Times New Roman" w:hAnsi="Times New Roman" w:cs="Times New Roman"/>
          <w:sz w:val="24"/>
          <w:szCs w:val="24"/>
        </w:rPr>
        <w:t xml:space="preserve"> </w:t>
      </w:r>
      <w:bookmarkStart w:id="18" w:name="dc_7"/>
      <w:bookmarkEnd w:id="17"/>
      <w:r w:rsidRPr="002C7640">
        <w:rPr>
          <w:rFonts w:ascii="Times New Roman" w:eastAsia="Times New Roman" w:hAnsi="Times New Roman" w:cs="Times New Roman"/>
          <w:sz w:val="24"/>
          <w:szCs w:val="24"/>
          <w:lang w:val="vi-VN"/>
        </w:rPr>
        <w:t xml:space="preserve">Điều 9 </w:t>
      </w:r>
      <w:bookmarkStart w:id="19" w:name="dieu_5_name"/>
      <w:bookmarkEnd w:id="18"/>
      <w:r w:rsidRPr="002C7640">
        <w:rPr>
          <w:rFonts w:ascii="Times New Roman" w:eastAsia="Times New Roman" w:hAnsi="Times New Roman" w:cs="Times New Roman"/>
          <w:sz w:val="24"/>
          <w:szCs w:val="24"/>
          <w:lang w:val="vi-VN"/>
        </w:rPr>
        <w:t xml:space="preserve">như sau: </w:t>
      </w:r>
      <w:bookmarkEnd w:id="19"/>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a) Sửa đổi, bổ sung tên điều như sau:</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b/>
          <w:bCs/>
          <w:sz w:val="24"/>
          <w:szCs w:val="24"/>
          <w:lang w:val="vi-VN"/>
        </w:rPr>
        <w:t>“Điều 9. Thẩm quyền, trình tự, thủ tục bổ nhiệm giám định viên tư pháp và cấp thẻ giám định viên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 xml:space="preserve">b) Sửa đổi, bổ sung </w:t>
      </w:r>
      <w:bookmarkStart w:id="20" w:name="dc_8"/>
      <w:r w:rsidRPr="002C7640">
        <w:rPr>
          <w:rFonts w:ascii="Times New Roman" w:eastAsia="Times New Roman" w:hAnsi="Times New Roman" w:cs="Times New Roman"/>
          <w:sz w:val="24"/>
          <w:szCs w:val="24"/>
          <w:lang w:val="vi-VN"/>
        </w:rPr>
        <w:t xml:space="preserve">khoản 2 </w:t>
      </w:r>
      <w:bookmarkEnd w:id="20"/>
      <w:r w:rsidRPr="002C7640">
        <w:rPr>
          <w:rFonts w:ascii="Times New Roman" w:eastAsia="Times New Roman" w:hAnsi="Times New Roman" w:cs="Times New Roman"/>
          <w:sz w:val="24"/>
          <w:szCs w:val="24"/>
          <w:lang w:val="vi-VN"/>
        </w:rPr>
        <w:t>như sau:</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“2. Bộ Quốc phòng, Bộ Công an có trách nhiệm lựa chọn người có đủ tiêu chuẩn quy định tại khoản 1 Điều 7 của Luật này, đề nghị Bộ trưởng Bộ Y tế bổ nhiệm giám định viên pháp y thuộc bộ mình.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Bộ Quốc phòng, Viện kiểm sát nhân dân tối cao có trách nhiệm lựa chọn người có đủ tiêu chuẩn quy định tại khoản 1 Điều 7 của Luật này, đề nghị Bộ trưởng Bộ Công an bổ nhiệm giám định viên kỹ thuật hình sự thuộc bộ, ngành mình.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Thủ trưởng đơn vị thuộc bộ, cơ quan ngang bộ được giao quản lý hoạt động giám định tư pháp có trách nhiệm lựa chọn người có đủ tiêu chuẩn quy định tại khoản 1 Điều 7 của Luật này, đề nghị Bộ trưởng, Thủ trưởng cơ quan ngang bộ bổ nhiệm giám định viên tư pháp ở lĩnh vực giám định thuộc thẩm quyền quản lý.</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Người đứng đầu cơ quan chuyên môn thuộc Ủy ban nhân dân cấp tỉnh quản lý lĩnh vực giám định tư pháp có trách nhiệm chủ trì, phối hợp với Giám đốc Sở Tư pháp lựa chọn người có đủ tiêu chuẩn quy định tại khoản 1 Điều 7 của Luật này, tiếp nhận hồ sơ của người đề nghị bổ nhiệm giám định viên tư pháp quy định tại Điều 8 của Luật này, đề nghị Chủ tịch Ủy ban nhân dân cấp tỉnh bổ nhiệm giám định viên tư pháp ở địa phương.</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Trong thời hạn 20 ngày, kể từ ngày nhận được hồ sơ hợp lệ, Bộ trưởng, Thủ trưởng cơ quan ngang bộ, Chủ tịch Ủy ban nhân dân cấp tỉnh quyết định bổ nhiệm giám định viên tư pháp. Trường hợp từ chối thì phải thông báo cho người đề nghị bằng văn bản và nêu rõ lý do.”;</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 xml:space="preserve">c) Bổ sung khoản 4 vào sau </w:t>
      </w:r>
      <w:bookmarkStart w:id="21" w:name="dc_9"/>
      <w:r w:rsidRPr="002C7640">
        <w:rPr>
          <w:rFonts w:ascii="Times New Roman" w:eastAsia="Times New Roman" w:hAnsi="Times New Roman" w:cs="Times New Roman"/>
          <w:sz w:val="24"/>
          <w:szCs w:val="24"/>
          <w:lang w:val="vi-VN"/>
        </w:rPr>
        <w:t xml:space="preserve">khoản 3 </w:t>
      </w:r>
      <w:bookmarkEnd w:id="21"/>
      <w:r w:rsidRPr="002C7640">
        <w:rPr>
          <w:rFonts w:ascii="Times New Roman" w:eastAsia="Times New Roman" w:hAnsi="Times New Roman" w:cs="Times New Roman"/>
          <w:sz w:val="24"/>
          <w:szCs w:val="24"/>
          <w:lang w:val="vi-VN"/>
        </w:rPr>
        <w:t>như sau:</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“4. Người được bổ nhiệm giám định viên tư pháp được cấp thẻ giám định viên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Người có thẩm quyền bổ nhiệm giám định viên tư pháp quy định tại khoản 1 Điều này có thẩm quyền cấp mới, cấp lại thẻ giám định viên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Mẫu thẻ, trình tự, thủ tục cấp mới, cấp lại thẻ giám định viên tư pháp được thực hiện theo quy định của Bộ trưởng Bộ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22" w:name="dieu_6"/>
      <w:r w:rsidRPr="002C7640">
        <w:rPr>
          <w:rFonts w:ascii="Times New Roman" w:eastAsia="Times New Roman" w:hAnsi="Times New Roman" w:cs="Times New Roman"/>
          <w:sz w:val="24"/>
          <w:szCs w:val="24"/>
          <w:lang w:val="vi-VN"/>
        </w:rPr>
        <w:t>6. Sửa đổi, bổ sung</w:t>
      </w:r>
      <w:r w:rsidRPr="002C7640">
        <w:rPr>
          <w:rFonts w:ascii="Times New Roman" w:eastAsia="Times New Roman" w:hAnsi="Times New Roman" w:cs="Times New Roman"/>
          <w:sz w:val="24"/>
          <w:szCs w:val="24"/>
        </w:rPr>
        <w:t xml:space="preserve"> </w:t>
      </w:r>
      <w:bookmarkStart w:id="23" w:name="dc_10"/>
      <w:bookmarkEnd w:id="22"/>
      <w:r w:rsidRPr="002C7640">
        <w:rPr>
          <w:rFonts w:ascii="Times New Roman" w:eastAsia="Times New Roman" w:hAnsi="Times New Roman" w:cs="Times New Roman"/>
          <w:sz w:val="24"/>
          <w:szCs w:val="24"/>
          <w:lang w:val="vi-VN"/>
        </w:rPr>
        <w:t xml:space="preserve">Điều 10 </w:t>
      </w:r>
      <w:bookmarkStart w:id="24" w:name="dieu_6_name"/>
      <w:bookmarkEnd w:id="23"/>
      <w:r w:rsidRPr="002C7640">
        <w:rPr>
          <w:rFonts w:ascii="Times New Roman" w:eastAsia="Times New Roman" w:hAnsi="Times New Roman" w:cs="Times New Roman"/>
          <w:sz w:val="24"/>
          <w:szCs w:val="24"/>
          <w:lang w:val="vi-VN"/>
        </w:rPr>
        <w:t xml:space="preserve">như sau: </w:t>
      </w:r>
      <w:bookmarkEnd w:id="24"/>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b/>
          <w:bCs/>
          <w:sz w:val="24"/>
          <w:szCs w:val="24"/>
          <w:lang w:val="vi-VN"/>
        </w:rPr>
        <w:t>“Điều 10. Thẩm quyền, trình tự, thủ tục miễn nhiệm giám định viên tư pháp và thu hồi thẻ giám định viên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1. Các trường hợp miễn nhiệm giám định viên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a) Không còn đủ tiêu chuẩn quy định tại khoản 1 Điều 7 của Luật này;</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b) Thuộc một trong các trường hợp quy định tại khoản 2 Điều 7 của Luật này;</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lastRenderedPageBreak/>
        <w:t>c) Bị xử lý kỷ luật từ hình thức cảnh cáo trở lên hoặc bị xử phạt vi phạm hành chính do cố ý vi phạm quy định của pháp luật về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d) Thực hiện một trong các hành vi quy định tại Điều 6 của Luật này;</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đ) Có quyết định nghỉ hưu hoặc quyết định thôi việc, trừ trường hợp có văn bản thể hiện nguyện vọng tiếp tục tham gia hoạt động giám định tư pháp và cơ quan, tổ chức quản lý trực tiếp có nhu cầu sử dụng phù hợp với quy định của pháp luật;</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e) Chuyển đổi vị trí công tác hoặc chuyển công tác sang cơ quan, tổ chức khác mà không còn điều kiện phù hợp để tiếp tục thực hiện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g) Theo đề nghị của giám định viên tư pháp. Trường hợp giám định viên tư pháp là công chức, viên chức, sĩ quan quân đội, sĩ quan công an nhân dân, quân nhân chuyên nghiệp, công nhân quốc phòng thì phải được sự chấp thuận của cơ quan, tổ chức quản lý trực tiếp;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h) Giám định viên tư pháp được bổ nhiệm để thành lập Văn phòng giám định tư pháp nhưng sau thời hạn 01 năm, kể từ ngày được bổ nhiệm không thành lập Văn phòng hoặc sau thời hạn 01 năm, kể từ ngày có quyết định cho phép thành lập Văn phòng mà không đăng ký hoạt động.</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2. Hồ sơ đề nghị miễn nhiệm giám định viên tư pháp bao gồm:</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a) Văn bản đề nghị miễn nhiệm giám định viên tư pháp của cơ quan, tổ chức quản lý giám định viên tư pháp hoặc đơn xin miễn nhiệm của giám định viên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b) Văn bản, giấy tờ chứng minh giám định viên tư pháp thuộc một trong các trường hợp quy định tại khoản 1 Điều này.</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3. Bộ trưởng Bộ Công an, Bộ trưởng Bộ Quốc phòng xem xét, đề nghị Bộ trưởng Bộ Y tế miễn nhiệm giám định viên pháp y thuộc thẩm quyền quản lý.</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Bộ trưởng Bộ Quốc phòng, Viện trưởng Viện kiểm sát nhân dân tối cao xem xét, đề nghị Bộ trưởng Bộ Công an miễn nhiệm giám định viên kỹ thuật hình sự thuộc thẩm quyền quản lý.</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Bộ trưởng, Thủ trưởng cơ quan ngang bộ miễn nhiệm giám định viên tư pháp hoạt động tại các cơ quan ở trung ương ở lĩnh vực giám định thuộc thẩm quyền quản lý theo đề nghị của Thủ trưởng đơn vị thuộc bộ, cơ quan ngang bộ được giao quản lý hoạt động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Chủ tịch Ủy ban nhân dân cấp tỉnh miễn nhiệm giám định viên tư pháp ở địa phương theo đề nghị của người đứng đầu cơ quan chuyên môn thuộc Ủy ban nhân dân cấp tỉnh quản lý lĩnh vực giám định tư pháp sau khi thống nhất ý kiến với Giám đốc Sở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4. Trong thời hạn 10 ngày, kể từ ngày nhận được hồ sơ hợp lệ, Bộ trưởng, Thủ trưởng cơ quan ngang bộ, Chủ tịch Ủy ban nhân dân cấp tỉnh xem xét, quyết định miễn nhiệm giám định viên tư pháp, thu hồi thẻ giám định viên tư pháp và điều chỉnh danh sách giám định viên tư pháp trên cổng thông tin điện tử của bộ, cơ quan ngang bộ, Ủy ban nhân dân cấp tỉnh, đồng thời gửi Bộ Tư pháp để điều chỉnh danh sách chung về giám định viên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25" w:name="dieu_7"/>
      <w:r w:rsidRPr="002C7640">
        <w:rPr>
          <w:rFonts w:ascii="Times New Roman" w:eastAsia="Times New Roman" w:hAnsi="Times New Roman" w:cs="Times New Roman"/>
          <w:sz w:val="24"/>
          <w:szCs w:val="24"/>
          <w:lang w:val="vi-VN"/>
        </w:rPr>
        <w:t>7. Sửa đổi, bổ sung</w:t>
      </w:r>
      <w:r w:rsidRPr="002C7640">
        <w:rPr>
          <w:rFonts w:ascii="Times New Roman" w:eastAsia="Times New Roman" w:hAnsi="Times New Roman" w:cs="Times New Roman"/>
          <w:sz w:val="24"/>
          <w:szCs w:val="24"/>
        </w:rPr>
        <w:t xml:space="preserve"> </w:t>
      </w:r>
      <w:bookmarkStart w:id="26" w:name="dc_11"/>
      <w:bookmarkEnd w:id="25"/>
      <w:r w:rsidRPr="002C7640">
        <w:rPr>
          <w:rFonts w:ascii="Times New Roman" w:eastAsia="Times New Roman" w:hAnsi="Times New Roman" w:cs="Times New Roman"/>
          <w:sz w:val="24"/>
          <w:szCs w:val="24"/>
          <w:lang w:val="vi-VN"/>
        </w:rPr>
        <w:t xml:space="preserve">khoản 2 Điều 11 </w:t>
      </w:r>
      <w:bookmarkStart w:id="27" w:name="dieu_7_name"/>
      <w:bookmarkEnd w:id="26"/>
      <w:r w:rsidRPr="002C7640">
        <w:rPr>
          <w:rFonts w:ascii="Times New Roman" w:eastAsia="Times New Roman" w:hAnsi="Times New Roman" w:cs="Times New Roman"/>
          <w:sz w:val="24"/>
          <w:szCs w:val="24"/>
          <w:lang w:val="vi-VN"/>
        </w:rPr>
        <w:t xml:space="preserve">như sau: </w:t>
      </w:r>
      <w:bookmarkEnd w:id="27"/>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 xml:space="preserve">“2. Từ chối giám định trong trường hợp nội dung trưng cầu, yêu cầu giám định không phù hợp với phạm vi chuyên môn hoặc không có đủ năng lực, điều kiện cần thiết cho việc thực hiện giám định; đối tượng giám định, tài liệu liên quan được cung cấp không đầy đủ hoặc không có giá trị để kết luận giám định tư pháp sau khi đã đề nghị người trưng cầu, người yêu cầu giám định bổ sung, làm rõ nhưng không được đáp ứng; thời gian không đủ để thực hiện giám định; tính độc lập, khách quan của việc thực hiện giám định không được bảo đảm. </w:t>
      </w:r>
      <w:r w:rsidRPr="002C7640">
        <w:rPr>
          <w:rFonts w:ascii="Times New Roman" w:eastAsia="Times New Roman" w:hAnsi="Times New Roman" w:cs="Times New Roman"/>
          <w:sz w:val="24"/>
          <w:szCs w:val="24"/>
          <w:lang w:val="vi-VN"/>
        </w:rPr>
        <w:lastRenderedPageBreak/>
        <w:t>Trường hợp từ chối giám định thì trong thời hạn 05 ngày làm việc, kể từ ngày nhận được quyết định trưng cầu hoặc yêu cầu giám định, phải thông báo cho người trưng cầu, người yêu cầu giám định bằng văn bản và nêu rõ lý do.”.</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28" w:name="dieu_8"/>
      <w:r w:rsidRPr="002C7640">
        <w:rPr>
          <w:rFonts w:ascii="Times New Roman" w:eastAsia="Times New Roman" w:hAnsi="Times New Roman" w:cs="Times New Roman"/>
          <w:sz w:val="24"/>
          <w:szCs w:val="24"/>
          <w:lang w:val="vi-VN"/>
        </w:rPr>
        <w:t>8. Sửa đổi, bổ sung một số khoản của</w:t>
      </w:r>
      <w:r w:rsidRPr="002C7640">
        <w:rPr>
          <w:rFonts w:ascii="Times New Roman" w:eastAsia="Times New Roman" w:hAnsi="Times New Roman" w:cs="Times New Roman"/>
          <w:sz w:val="24"/>
          <w:szCs w:val="24"/>
        </w:rPr>
        <w:t xml:space="preserve"> </w:t>
      </w:r>
      <w:bookmarkStart w:id="29" w:name="dc_12"/>
      <w:bookmarkEnd w:id="28"/>
      <w:r w:rsidRPr="002C7640">
        <w:rPr>
          <w:rFonts w:ascii="Times New Roman" w:eastAsia="Times New Roman" w:hAnsi="Times New Roman" w:cs="Times New Roman"/>
          <w:sz w:val="24"/>
          <w:szCs w:val="24"/>
          <w:lang w:val="vi-VN"/>
        </w:rPr>
        <w:t xml:space="preserve">Điều 12 </w:t>
      </w:r>
      <w:bookmarkStart w:id="30" w:name="dieu_8_name"/>
      <w:bookmarkEnd w:id="29"/>
      <w:r w:rsidRPr="002C7640">
        <w:rPr>
          <w:rFonts w:ascii="Times New Roman" w:eastAsia="Times New Roman" w:hAnsi="Times New Roman" w:cs="Times New Roman"/>
          <w:sz w:val="24"/>
          <w:szCs w:val="24"/>
          <w:lang w:val="vi-VN"/>
        </w:rPr>
        <w:t xml:space="preserve">như sau: </w:t>
      </w:r>
      <w:bookmarkEnd w:id="30"/>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 xml:space="preserve">a) Sửa đổi, bổ sung </w:t>
      </w:r>
      <w:bookmarkStart w:id="31" w:name="dc_13"/>
      <w:r w:rsidRPr="002C7640">
        <w:rPr>
          <w:rFonts w:ascii="Times New Roman" w:eastAsia="Times New Roman" w:hAnsi="Times New Roman" w:cs="Times New Roman"/>
          <w:sz w:val="24"/>
          <w:szCs w:val="24"/>
          <w:lang w:val="vi-VN"/>
        </w:rPr>
        <w:t xml:space="preserve">khoản 4 và khoản 5 </w:t>
      </w:r>
      <w:bookmarkEnd w:id="31"/>
      <w:r w:rsidRPr="002C7640">
        <w:rPr>
          <w:rFonts w:ascii="Times New Roman" w:eastAsia="Times New Roman" w:hAnsi="Times New Roman" w:cs="Times New Roman"/>
          <w:sz w:val="24"/>
          <w:szCs w:val="24"/>
          <w:lang w:val="vi-VN"/>
        </w:rPr>
        <w:t>như sau:</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“4. Tổ chức giám định tư pháp công lập về kỹ thuật hình sự bao gồm:</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a) Viện khoa học hình sự thuộc Bộ Công an;</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b) Phòng kỹ thuật hình sự thuộc Công an cấp tỉnh;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c) Phòng giám định kỹ thuật hình sự thuộc Bộ Quốc phòng;</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d) Phòng giám định kỹ thuật hình sự thuộc Viện kiểm sát nhân dân tối cao.</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5. Phòng giám định kỹ thuật hình sự thuộc Viện kiểm sát nhân dân tối cao thực hiện giám định về âm thanh, hình ảnh từ các dữ liệu điện tử. Căn cứ vào nhu cầu và điều kiện thực tế của địa phương, Phòng kỹ thuật hình sự thuộc Công an cấp tỉnh có giám định viên pháp y thực hiện giám định pháp y tử thi.”;</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 xml:space="preserve">b) Sửa đổi, bổ sung </w:t>
      </w:r>
      <w:bookmarkStart w:id="32" w:name="dc_14"/>
      <w:r w:rsidRPr="002C7640">
        <w:rPr>
          <w:rFonts w:ascii="Times New Roman" w:eastAsia="Times New Roman" w:hAnsi="Times New Roman" w:cs="Times New Roman"/>
          <w:sz w:val="24"/>
          <w:szCs w:val="24"/>
          <w:lang w:val="vi-VN"/>
        </w:rPr>
        <w:t xml:space="preserve">khoản 7 </w:t>
      </w:r>
      <w:bookmarkEnd w:id="32"/>
      <w:r w:rsidRPr="002C7640">
        <w:rPr>
          <w:rFonts w:ascii="Times New Roman" w:eastAsia="Times New Roman" w:hAnsi="Times New Roman" w:cs="Times New Roman"/>
          <w:sz w:val="24"/>
          <w:szCs w:val="24"/>
          <w:lang w:val="vi-VN"/>
        </w:rPr>
        <w:t>như sau:</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“7. Chính phủ quy định chi tiết chức năng, nhiệm vụ, cơ cấu tổ chức, chế độ làm việc của tổ chức giám định tư pháp công lập quy định tại khoản 2, khoản 3, các điểm a, b và c khoản 4 Điều này.</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Viện trưởng Viện kiểm sát nhân dân tối cao quy định chức năng, nhiệm vụ, cơ cấu tổ chức của Phòng giám định kỹ thuật hình sự thuộc Viện kiểm sát nhân dân tối cao, trình Ủy ban Thường vụ Quốc hội phê chuẩn.”.</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33" w:name="dieu_9"/>
      <w:r w:rsidRPr="002C7640">
        <w:rPr>
          <w:rFonts w:ascii="Times New Roman" w:eastAsia="Times New Roman" w:hAnsi="Times New Roman" w:cs="Times New Roman"/>
          <w:sz w:val="24"/>
          <w:szCs w:val="24"/>
          <w:lang w:val="vi-VN"/>
        </w:rPr>
        <w:t>9. Sửa đổi, bổ sung</w:t>
      </w:r>
      <w:r w:rsidRPr="002C7640">
        <w:rPr>
          <w:rFonts w:ascii="Times New Roman" w:eastAsia="Times New Roman" w:hAnsi="Times New Roman" w:cs="Times New Roman"/>
          <w:sz w:val="24"/>
          <w:szCs w:val="24"/>
        </w:rPr>
        <w:t xml:space="preserve"> </w:t>
      </w:r>
      <w:bookmarkStart w:id="34" w:name="dc_16"/>
      <w:bookmarkEnd w:id="33"/>
      <w:r w:rsidRPr="002C7640">
        <w:rPr>
          <w:rFonts w:ascii="Times New Roman" w:eastAsia="Times New Roman" w:hAnsi="Times New Roman" w:cs="Times New Roman"/>
          <w:sz w:val="24"/>
          <w:szCs w:val="24"/>
          <w:lang w:val="vi-VN"/>
        </w:rPr>
        <w:t xml:space="preserve">điểm a khoản 1 Điều 15 </w:t>
      </w:r>
      <w:bookmarkStart w:id="35" w:name="dieu_9_name"/>
      <w:bookmarkEnd w:id="34"/>
      <w:r w:rsidRPr="002C7640">
        <w:rPr>
          <w:rFonts w:ascii="Times New Roman" w:eastAsia="Times New Roman" w:hAnsi="Times New Roman" w:cs="Times New Roman"/>
          <w:sz w:val="24"/>
          <w:szCs w:val="24"/>
          <w:lang w:val="vi-VN"/>
        </w:rPr>
        <w:t xml:space="preserve">như sau: </w:t>
      </w:r>
      <w:bookmarkEnd w:id="35"/>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“a) Có từ đủ 03 năm trở lên là giám định viên tư pháp và có hoạt động giám định trong lĩnh vực đề nghị thành lập Văn phòng;”.</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36" w:name="dieu_10"/>
      <w:r w:rsidRPr="002C7640">
        <w:rPr>
          <w:rFonts w:ascii="Times New Roman" w:eastAsia="Times New Roman" w:hAnsi="Times New Roman" w:cs="Times New Roman"/>
          <w:sz w:val="24"/>
          <w:szCs w:val="24"/>
          <w:lang w:val="vi-VN"/>
        </w:rPr>
        <w:t>10. Sửa đổi, bổ sung</w:t>
      </w:r>
      <w:r w:rsidRPr="002C7640">
        <w:rPr>
          <w:rFonts w:ascii="Times New Roman" w:eastAsia="Times New Roman" w:hAnsi="Times New Roman" w:cs="Times New Roman"/>
          <w:sz w:val="24"/>
          <w:szCs w:val="24"/>
        </w:rPr>
        <w:t xml:space="preserve"> </w:t>
      </w:r>
      <w:bookmarkStart w:id="37" w:name="dc_17"/>
      <w:bookmarkEnd w:id="36"/>
      <w:r w:rsidRPr="002C7640">
        <w:rPr>
          <w:rFonts w:ascii="Times New Roman" w:eastAsia="Times New Roman" w:hAnsi="Times New Roman" w:cs="Times New Roman"/>
          <w:sz w:val="24"/>
          <w:szCs w:val="24"/>
          <w:lang w:val="vi-VN"/>
        </w:rPr>
        <w:t xml:space="preserve">Điều 20 </w:t>
      </w:r>
      <w:bookmarkStart w:id="38" w:name="dieu_10_name"/>
      <w:bookmarkEnd w:id="37"/>
      <w:r w:rsidRPr="002C7640">
        <w:rPr>
          <w:rFonts w:ascii="Times New Roman" w:eastAsia="Times New Roman" w:hAnsi="Times New Roman" w:cs="Times New Roman"/>
          <w:sz w:val="24"/>
          <w:szCs w:val="24"/>
          <w:lang w:val="vi-VN"/>
        </w:rPr>
        <w:t xml:space="preserve">như sau: </w:t>
      </w:r>
      <w:bookmarkEnd w:id="38"/>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b/>
          <w:bCs/>
          <w:sz w:val="24"/>
          <w:szCs w:val="24"/>
          <w:lang w:val="vi-VN"/>
        </w:rPr>
        <w:t>“Điều 20. Công nhận và đăng tải danh sách người giám định tư pháp theo vụ việc, tổ chức giám định tư pháp theo vụ việc</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1. Bộ Xây dựng, Bộ Tài chính, Bộ Văn hóa, Thể thao và Du lịch, Bộ Thông tin và Truyền thông, Bộ Kế hoạch và Đầu tư, Bộ Tài nguyên và Môi trường, Bộ Giao thông vận tải, Bộ Khoa học và Công nghệ, Bộ Nông nghiệp và Phát triển nông thôn, Ngân hàng Nhà nước Việt Nam, bộ, cơ quan ngang bộ khác, cơ quan thuộc Chính phủ và Ủy ban nhân dân cấp tỉnh lựa chọn cá nhân, tổ chức có đủ tiêu chuẩn, điều kiện quy định tại Điều 18 và Điều 19 của Luật này để ra quyết định công nhận người giám định tư pháp theo vụ việc, tổ chức giám định tư pháp theo vụ việc ở lĩnh vực thuộc thẩm quyền quản lý để đáp ứng yêu cầu giám định của hoạt động tố tụng.</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Danh sách kèm theo thông tin về chuyên ngành giám định, kinh nghiệm, năng lực chuyên môn, nghiệp vụ của người giám định tư pháp theo vụ việc, tổ chức giám định tư pháp theo vụ việc được đăng tải, rà soát và cập nhật trên cổng thông tin điện tử của bộ, cơ quan ngang bộ, cơ quan thuộc Chính phủ, Ủy ban nhân dân cấp tỉnh, đồng thời gửi Bộ Tư pháp để lập danh sách chung.</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lastRenderedPageBreak/>
        <w:t>2. Danh sách người giám định tư pháp theo vụ việc, tổ chức giám định tư pháp theo vụ việc quy định tại khoản 1 Điều này là căn cứ để cơ quan có thẩm quyền tiến hành tố tụng, người có thẩm quyền tiến hành tố tụng lựa chọn, quyết định việc trưng cầu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Trong trường hợp đặc biệt, người trưng cầu giám định có thể trưng cầu cá nhân, tổ chức chuyên môn có đủ tiêu chuẩn, điều kiện quy định tại Điều 18 và Điều 19 của Luật này không thuộc danh sách người giám định tư pháp theo vụ việc, tổ chức giám định tư pháp theo vụ việc đã công bố để thực hiện giám định nhưng phải nêu rõ lý do trong quyết định trưng cầu.</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Theo yêu cầu của cơ quan có thẩm quyền tiến hành tố tụng, người có thẩm quyền tiến hành tố tụng, bộ, cơ quan ngang bộ, cơ quan thuộc Chính phủ, Kiểm toán nhà nước, cơ quan chuyên môn thuộc Ủy ban nhân dân cấp tỉnh, cơ quan trung ương đóng trên địa bàn cấp tỉnh có trách nhiệm giới thiệu cá nhân, tổ chức có đủ tiêu chuẩn, điều kiện quy định tại Điều 18 và Điều 19 của Luật này ngoài danh sách đã công bố để thực hiện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39" w:name="dieu_11"/>
      <w:r w:rsidRPr="002C7640">
        <w:rPr>
          <w:rFonts w:ascii="Times New Roman" w:eastAsia="Times New Roman" w:hAnsi="Times New Roman" w:cs="Times New Roman"/>
          <w:sz w:val="24"/>
          <w:szCs w:val="24"/>
          <w:lang w:val="vi-VN"/>
        </w:rPr>
        <w:t>11. Sửa đổi, bổ sung</w:t>
      </w:r>
      <w:r w:rsidRPr="002C7640">
        <w:rPr>
          <w:rFonts w:ascii="Times New Roman" w:eastAsia="Times New Roman" w:hAnsi="Times New Roman" w:cs="Times New Roman"/>
          <w:sz w:val="24"/>
          <w:szCs w:val="24"/>
        </w:rPr>
        <w:t xml:space="preserve"> </w:t>
      </w:r>
      <w:bookmarkStart w:id="40" w:name="dc_18"/>
      <w:bookmarkEnd w:id="39"/>
      <w:r w:rsidRPr="002C7640">
        <w:rPr>
          <w:rFonts w:ascii="Times New Roman" w:eastAsia="Times New Roman" w:hAnsi="Times New Roman" w:cs="Times New Roman"/>
          <w:sz w:val="24"/>
          <w:szCs w:val="24"/>
          <w:lang w:val="vi-VN"/>
        </w:rPr>
        <w:t xml:space="preserve">khoản 2 Điều 21 </w:t>
      </w:r>
      <w:bookmarkStart w:id="41" w:name="dieu_11_name"/>
      <w:bookmarkEnd w:id="40"/>
      <w:r w:rsidRPr="002C7640">
        <w:rPr>
          <w:rFonts w:ascii="Times New Roman" w:eastAsia="Times New Roman" w:hAnsi="Times New Roman" w:cs="Times New Roman"/>
          <w:sz w:val="24"/>
          <w:szCs w:val="24"/>
          <w:lang w:val="vi-VN"/>
        </w:rPr>
        <w:t xml:space="preserve">như sau: </w:t>
      </w:r>
      <w:bookmarkEnd w:id="41"/>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“2. Người trưng cầu giám định có nghĩa vụ:</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a) Xác định rõ nội dung, lĩnh vực hoặc chuyên ngành cần giám định trong vụ án, vụ việc đang giải quyết; lựa chọn cá nhân, tổ chức có năng lực, đủ điều kiện thực hiện giám định phù hợp với tính chất, nội dung cần giám định để ra quyết định trưng cầu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b) Ra quyết định trưng cầu giám định bằng văn bản;</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c) Cung cấp kịp thời, đầy đủ và chịu trách nhiệm trước pháp luật về thông tin, tài liệu, mẫu vật có liên quan đến đối tượng, nội dung cần giám định theo yêu cầu của cá nhân, tổ chức thực hiện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d) Tạm ứng, thanh toán kịp thời, đầy đủ chi phí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đ) Thực hiện hoặc đề nghị cơ quan có thẩm quyền áp dụng các biện pháp theo quy định của pháp luật để bảo vệ người giám định tư pháp hoặc người thân thích của người giám định tư pháp khi có căn cứ xác định tính mạng, sức khỏe, danh dự, nhân phẩm, tài sản của người giám định tư pháp hoặc người thân thích của người giám định tư pháp bị đe dọa do việc thực hiện giám định tư pháp, tham gia vụ án, vụ việc với tư cách là người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42" w:name="dieu_12"/>
      <w:r w:rsidRPr="002C7640">
        <w:rPr>
          <w:rFonts w:ascii="Times New Roman" w:eastAsia="Times New Roman" w:hAnsi="Times New Roman" w:cs="Times New Roman"/>
          <w:sz w:val="24"/>
          <w:szCs w:val="24"/>
          <w:lang w:val="vi-VN"/>
        </w:rPr>
        <w:t>12. Sửa đổi, bổ sung một số điểm, khoản của</w:t>
      </w:r>
      <w:r w:rsidRPr="002C7640">
        <w:rPr>
          <w:rFonts w:ascii="Times New Roman" w:eastAsia="Times New Roman" w:hAnsi="Times New Roman" w:cs="Times New Roman"/>
          <w:sz w:val="24"/>
          <w:szCs w:val="24"/>
        </w:rPr>
        <w:t xml:space="preserve"> </w:t>
      </w:r>
      <w:bookmarkStart w:id="43" w:name="dc_19"/>
      <w:bookmarkEnd w:id="42"/>
      <w:r w:rsidRPr="002C7640">
        <w:rPr>
          <w:rFonts w:ascii="Times New Roman" w:eastAsia="Times New Roman" w:hAnsi="Times New Roman" w:cs="Times New Roman"/>
          <w:sz w:val="24"/>
          <w:szCs w:val="24"/>
          <w:lang w:val="vi-VN"/>
        </w:rPr>
        <w:t xml:space="preserve">Điều 22 </w:t>
      </w:r>
      <w:bookmarkStart w:id="44" w:name="dieu_12_name"/>
      <w:bookmarkEnd w:id="43"/>
      <w:r w:rsidRPr="002C7640">
        <w:rPr>
          <w:rFonts w:ascii="Times New Roman" w:eastAsia="Times New Roman" w:hAnsi="Times New Roman" w:cs="Times New Roman"/>
          <w:sz w:val="24"/>
          <w:szCs w:val="24"/>
          <w:lang w:val="vi-VN"/>
        </w:rPr>
        <w:t xml:space="preserve">như sau: </w:t>
      </w:r>
      <w:bookmarkEnd w:id="44"/>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 xml:space="preserve">a) Sửa đổi, bổ sung </w:t>
      </w:r>
      <w:bookmarkStart w:id="45" w:name="dc_20"/>
      <w:r w:rsidRPr="002C7640">
        <w:rPr>
          <w:rFonts w:ascii="Times New Roman" w:eastAsia="Times New Roman" w:hAnsi="Times New Roman" w:cs="Times New Roman"/>
          <w:sz w:val="24"/>
          <w:szCs w:val="24"/>
          <w:lang w:val="vi-VN"/>
        </w:rPr>
        <w:t xml:space="preserve">khoản 1 </w:t>
      </w:r>
      <w:bookmarkEnd w:id="45"/>
      <w:r w:rsidRPr="002C7640">
        <w:rPr>
          <w:rFonts w:ascii="Times New Roman" w:eastAsia="Times New Roman" w:hAnsi="Times New Roman" w:cs="Times New Roman"/>
          <w:sz w:val="24"/>
          <w:szCs w:val="24"/>
          <w:lang w:val="vi-VN"/>
        </w:rPr>
        <w:t>như sau:</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“1. Người yêu cầu giám định có quyền gửi văn bản yêu cầu cơ quan có thẩm quyền tiến hành tố tụng, người có thẩm quyền tiến hành tố tụng trưng cầu giám định. Trường hợp cơ quan có thẩm quyền tiến hành tố tụng, người có thẩm quyền tiến hành tố tụng không chấp nhận yêu cầu thì trong thời hạn 07 ngày, kể từ ngày nhận được yêu cầu trưng cầu giám định, phải thông báo cho người yêu cầu giám định bằng văn bản. Hết thời hạn nói trên hoặc kể từ ngày nhận được thông báo từ chối trưng cầu giám định, người yêu cầu giám định có quyền tự mình yêu cầu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 xml:space="preserve">b) Sửa đổi, bổ sung </w:t>
      </w:r>
      <w:bookmarkStart w:id="46" w:name="dc_21"/>
      <w:r w:rsidRPr="002C7640">
        <w:rPr>
          <w:rFonts w:ascii="Times New Roman" w:eastAsia="Times New Roman" w:hAnsi="Times New Roman" w:cs="Times New Roman"/>
          <w:sz w:val="24"/>
          <w:szCs w:val="24"/>
          <w:lang w:val="vi-VN"/>
        </w:rPr>
        <w:t xml:space="preserve">điểm d khoản 2 </w:t>
      </w:r>
      <w:bookmarkEnd w:id="46"/>
      <w:r w:rsidRPr="002C7640">
        <w:rPr>
          <w:rFonts w:ascii="Times New Roman" w:eastAsia="Times New Roman" w:hAnsi="Times New Roman" w:cs="Times New Roman"/>
          <w:sz w:val="24"/>
          <w:szCs w:val="24"/>
          <w:lang w:val="vi-VN"/>
        </w:rPr>
        <w:t>như sau:</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“d) Yêu cầu cơ quan có thẩm quyền tiến hành tố tụng, người có thẩm quyền tiến hành tố tụng trưng cầu giám định lại; yêu cầu giám định bổ sung theo quy định tại khoản 1 Điều 29 của Luật này.”.</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47" w:name="dieu_13"/>
      <w:r w:rsidRPr="002C7640">
        <w:rPr>
          <w:rFonts w:ascii="Times New Roman" w:eastAsia="Times New Roman" w:hAnsi="Times New Roman" w:cs="Times New Roman"/>
          <w:sz w:val="24"/>
          <w:szCs w:val="24"/>
          <w:lang w:val="vi-VN"/>
        </w:rPr>
        <w:t>13. Bổ sung các điểm d, đ và e vào sau</w:t>
      </w:r>
      <w:r w:rsidRPr="002C7640">
        <w:rPr>
          <w:rFonts w:ascii="Times New Roman" w:eastAsia="Times New Roman" w:hAnsi="Times New Roman" w:cs="Times New Roman"/>
          <w:sz w:val="24"/>
          <w:szCs w:val="24"/>
        </w:rPr>
        <w:t xml:space="preserve"> </w:t>
      </w:r>
      <w:bookmarkStart w:id="48" w:name="dc_22"/>
      <w:bookmarkEnd w:id="47"/>
      <w:r w:rsidRPr="002C7640">
        <w:rPr>
          <w:rFonts w:ascii="Times New Roman" w:eastAsia="Times New Roman" w:hAnsi="Times New Roman" w:cs="Times New Roman"/>
          <w:sz w:val="24"/>
          <w:szCs w:val="24"/>
          <w:lang w:val="vi-VN"/>
        </w:rPr>
        <w:t xml:space="preserve">điểm c khoản 1 Điều 23 </w:t>
      </w:r>
      <w:bookmarkStart w:id="49" w:name="dieu_13_name"/>
      <w:bookmarkEnd w:id="48"/>
      <w:r w:rsidRPr="002C7640">
        <w:rPr>
          <w:rFonts w:ascii="Times New Roman" w:eastAsia="Times New Roman" w:hAnsi="Times New Roman" w:cs="Times New Roman"/>
          <w:sz w:val="24"/>
          <w:szCs w:val="24"/>
          <w:lang w:val="vi-VN"/>
        </w:rPr>
        <w:t xml:space="preserve">như sau: </w:t>
      </w:r>
      <w:bookmarkEnd w:id="49"/>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lastRenderedPageBreak/>
        <w:t>“d) Đề nghị người trưng cầu giám định hoặc cơ quan có thẩm quyền thực hiện biện pháp bảo vệ theo quy định của pháp luật khi có dấu hiệu bị đe dọa đến tính mạng, sức khỏe, danh dự, nhân phẩm, tài sản của bản thân hoặc người thân thích do việc thực hiện giám định tư pháp, tham gia vụ án, vụ việc với tư cách là người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đ) Từ chối thực hiện giám định tư pháp trong trường hợp quy định tại khoản 2 Điều 11 của Luật này;</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e) Được bố trí vị trí phù hợp khi tham gia tố tụng tại phiên tòa.”.</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50" w:name="dieu_14"/>
      <w:r w:rsidRPr="002C7640">
        <w:rPr>
          <w:rFonts w:ascii="Times New Roman" w:eastAsia="Times New Roman" w:hAnsi="Times New Roman" w:cs="Times New Roman"/>
          <w:sz w:val="24"/>
          <w:szCs w:val="24"/>
          <w:lang w:val="vi-VN"/>
        </w:rPr>
        <w:t>14. Sửa đổi, bổ sung</w:t>
      </w:r>
      <w:r w:rsidRPr="002C7640">
        <w:rPr>
          <w:rFonts w:ascii="Times New Roman" w:eastAsia="Times New Roman" w:hAnsi="Times New Roman" w:cs="Times New Roman"/>
          <w:sz w:val="24"/>
          <w:szCs w:val="24"/>
        </w:rPr>
        <w:t xml:space="preserve"> </w:t>
      </w:r>
      <w:bookmarkStart w:id="51" w:name="dc_23"/>
      <w:bookmarkEnd w:id="50"/>
      <w:r w:rsidRPr="002C7640">
        <w:rPr>
          <w:rFonts w:ascii="Times New Roman" w:eastAsia="Times New Roman" w:hAnsi="Times New Roman" w:cs="Times New Roman"/>
          <w:sz w:val="24"/>
          <w:szCs w:val="24"/>
          <w:lang w:val="vi-VN"/>
        </w:rPr>
        <w:t xml:space="preserve">Điều 24 </w:t>
      </w:r>
      <w:bookmarkStart w:id="52" w:name="dieu_14_name"/>
      <w:bookmarkEnd w:id="51"/>
      <w:r w:rsidRPr="002C7640">
        <w:rPr>
          <w:rFonts w:ascii="Times New Roman" w:eastAsia="Times New Roman" w:hAnsi="Times New Roman" w:cs="Times New Roman"/>
          <w:sz w:val="24"/>
          <w:szCs w:val="24"/>
          <w:lang w:val="vi-VN"/>
        </w:rPr>
        <w:t xml:space="preserve">như sau: </w:t>
      </w:r>
      <w:bookmarkEnd w:id="52"/>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b/>
          <w:bCs/>
          <w:sz w:val="24"/>
          <w:szCs w:val="24"/>
          <w:lang w:val="vi-VN"/>
        </w:rPr>
        <w:t>“Điều 24. Quyền, nghĩa vụ của tổ chức được trưng cầu, yêu cầu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1. Tổ chức được trưng cầu, yêu cầu giám định tư pháp có quyền:</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a) Yêu cầu người trưng cầu, người yêu cầu giám định cung cấp kịp thời, đầy đủ thông tin, tài liệu, mẫu vật cần thiết cho việc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b) Từ chối tiếp nhận trưng cầu, yêu cầu giám định tư pháp trong trường hợp nội dung trưng cầu, yêu cầu giám định không phù hợp với phạm vi chuyên môn hoặc không có đủ năng lực, điều kiện cần thiết cho việc thực hiện giám định; đối tượng giám định, tài liệu liên quan được cung cấp không đầy đủ hoặc không có giá trị để kết luận giám định tư pháp sau khi đã đề nghị người trưng cầu, người yêu cầu giám định bổ sung, làm rõ nhưng không được đáp ứng; thời gian không đủ để thực hiện giám định; tính độc lập, khách quan của việc thực hiện giám định không được bảo đảm;</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c) Được nhận tạm ứng chi phí giám định tư pháp khi nhận trưng cầu, yêu cầu giám định tư pháp; được thanh toán kịp thời, đầy đủ chi phí giám định tư pháp khi trả kết quả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2. Tổ chức được trưng cầu, yêu cầu giám định tư pháp có nghĩa vụ:</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a) Trong thời hạn 05 ngày làm việc, kể từ ngày nhận được trưng cầu, yêu cầu giám định tư pháp, phải phân công người có trình độ chuyên môn, khả năng nghiệp vụ phù hợp với nội dung trưng cầu, yêu cầu giám định, chịu trách nhiệm về năng lực chuyên môn của người đó và thông báo cho người trưng cầu, người yêu cầu giám định, trừ trường hợp pháp luật quy định thời hạn ngắn hơn.</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Người đứng đầu tổ chức được trưng cầu, yêu cầu giám định có trách nhiệm chỉ đạo, đôn đốc việc tổ chức thực hiện giám định, trường hợp cần có từ 02 người trở lên thực hiện vụ việc giám định thì phải phân công người chịu trách nhiệm điều phối việc thực hiện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b) Bảo đảm thời gian, trang thiết bị, phương tiện và các điều kiện cần thiết khác cho việc thực hiện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Trong quá trình thực hiện giám định, nếu có nội dung mới hoặc vấn đề khác phát sinh thì cá nhân, tổ chức thực hiện giám định phải thông báo ngay bằng văn bản cho người trưng cầu, người yêu cầu giám định biết để thống nhất phương án giải quyết;</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c) Bồi thường thiệt hại trong trường hợp người thực hiện giám định do mình phân công cố ý kết luận giám định sai, gây thiệt hại cho cá nhân, tổ chức;</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d) Trường hợp từ chối tiếp nhận trưng cầu, yêu cầu giám định tư pháp thì phải thông báo cho người trưng cầu, người yêu cầu giám định bằng văn bản và nêu rõ lý do trong thời hạn 05 ngày làm việc, kể từ ngày nhận được quyết định trưng cầu, yêu cầu giám định, trừ trường hợp pháp luật quy định thời hạn ngắn hơn;</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đ) Chịu trách nhiệm về kết luận giám định tư pháp do mình đưa ra.”.</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53" w:name="dieu_15"/>
      <w:r w:rsidRPr="002C7640">
        <w:rPr>
          <w:rFonts w:ascii="Times New Roman" w:eastAsia="Times New Roman" w:hAnsi="Times New Roman" w:cs="Times New Roman"/>
          <w:sz w:val="24"/>
          <w:szCs w:val="24"/>
          <w:lang w:val="vi-VN"/>
        </w:rPr>
        <w:lastRenderedPageBreak/>
        <w:t>15. Sửa đổi, bổ sung</w:t>
      </w:r>
      <w:r w:rsidRPr="002C7640">
        <w:rPr>
          <w:rFonts w:ascii="Times New Roman" w:eastAsia="Times New Roman" w:hAnsi="Times New Roman" w:cs="Times New Roman"/>
          <w:sz w:val="24"/>
          <w:szCs w:val="24"/>
        </w:rPr>
        <w:t xml:space="preserve"> </w:t>
      </w:r>
      <w:bookmarkStart w:id="54" w:name="dc_24"/>
      <w:bookmarkEnd w:id="53"/>
      <w:r w:rsidRPr="002C7640">
        <w:rPr>
          <w:rFonts w:ascii="Times New Roman" w:eastAsia="Times New Roman" w:hAnsi="Times New Roman" w:cs="Times New Roman"/>
          <w:sz w:val="24"/>
          <w:szCs w:val="24"/>
          <w:lang w:val="vi-VN"/>
        </w:rPr>
        <w:t xml:space="preserve">Điều 25 </w:t>
      </w:r>
      <w:bookmarkStart w:id="55" w:name="dieu_15_name"/>
      <w:bookmarkEnd w:id="54"/>
      <w:r w:rsidRPr="002C7640">
        <w:rPr>
          <w:rFonts w:ascii="Times New Roman" w:eastAsia="Times New Roman" w:hAnsi="Times New Roman" w:cs="Times New Roman"/>
          <w:sz w:val="24"/>
          <w:szCs w:val="24"/>
          <w:lang w:val="vi-VN"/>
        </w:rPr>
        <w:t xml:space="preserve">như sau: </w:t>
      </w:r>
      <w:bookmarkEnd w:id="55"/>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b/>
          <w:bCs/>
          <w:sz w:val="24"/>
          <w:szCs w:val="24"/>
          <w:lang w:val="vi-VN"/>
        </w:rPr>
        <w:t>“Điều 25. Trưng cầu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1. Người trưng cầu giám định quyết định trưng cầu giám định tư pháp bằng văn bản và gửi quyết định kèm theo đối tượng giám định, thông tin, tài liệu, đồ vật có liên quan (nếu có) đến cá nhân, tổ chức thực hiện giám định. Trường hợp đối tượng giám định, thông tin, tài liệu, đồ vật có liên quan không thể gửi kèm theo quyết định trưng cầu giám định thì người trưng cầu giám định có trách nhiệm làm thủ tục bàn giao cho cá nhân, tổ chức thực hiện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 xml:space="preserve">2. Quyết định trưng cầu giám định phải có các nội dung sau đây: </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a) Tên cơ quan trưng cầu giám định; hạ, tên người có thẩm quyền trưng cầu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b) Tên tổ chức; họ, tên người được trưng cầu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c) Tóm tắt nội dung sự việc;</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d) Tên và đặc điểm của đối tượng cần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đ) Tên tài liệu, đồ vật có liên quan hoặc mẫu so sánh gửi kèm theo (nếu có);</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e) Nội dung chuyên môn của vấn đề cần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g) Ngày, tháng, năm trưng cầu giám định và thời hạn trả kết luận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3. Trường hợp trưng cầu giám định bổ sung hoặc trưng cầu giám định lại thì quyết định trưng cầu giám định phải ghi rõ là trưng cầu giám định bổ sung hoặc trưng cầu giám định lại và lý do của việc giám định bổ sung hoặc giám định lại.</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4. Trong trường hợp cần thiết, trước khi ra quyết định trưng cầu giám định, cơ quan có thẩm quyền tiến hành tố tụng, người có thẩm quyền tiến hành tố tụng trao đối với cá nhân, tổ chức dự kiến được trưng cầu giám định và cơ quan có liên quan về nội dung trưng cầu, thời hạn giám định, thông tin, tài liệu, mẫu vật cần cho việc giám định và các vấn đề khác có liên quan (nếu có).</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5. Trường hợp nội dung cần giám định liên quan đến nhiều lĩnh vực, thuộc trách nhiệm của nhiều tổ chức thì người trưng cầu giám định phải tách riêng từng nội dung để trưng cầu tổ chức có chuyên môn phù hợp thực hiện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Trường hợp các nội dung giám định liên quan đến nhiều lĩnh vực chuyên môn có quan hệ mật thiết với nhau, thuộc trách nhiệm của nhiều tổ chức mà việc tách riêng từng nội dung gây khó khăn cho việc thực hiện giám định, ảnh hưởng đến tính chính xác của kết quả giám định hoặc kéo dài thời gian giám định thì người trưng cầu giám định phải xác định được nội dung chính cần giám định để xác định tổ chức chủ trì và tổ chức phối hợp trong việc thực hiện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Tổ chức chủ trì có trách nhiệm làm đầu mối tổ chức triển khai việc giám định chung và thực hiện giám định phần nội dung chuyên môn của mình.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Trong thời hạn 05 ngày làm việc, kể từ ngày nhận được quyết định trưng cầu giám định, tổ chức được trưng cầu giám định tư pháp phải có văn bản cử người giám định gửi người trưng cầu giám định; đối với tổ chức phối hợp thực hiện giám định thì còn phải gửi văn bản cử người giám định cho tổ chức chủ trì việc thực hiện giám định. Tổ chức chủ trì phải tổ chức ngay việc giám định sau khi nhận được văn bản cử người của tổ chức phối hợp thực hiện giám định. Việc giám định trong trường hợp này được thực hiện theo hình thức giám định tập thể thuộc nhiều lĩnh vực chuyên môn khác nhau quy định tại khoản 3 Điều 28 của Luật này.</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lastRenderedPageBreak/>
        <w:t>Trường hợp phát sinh vướng mắc trong việc trưng cầu, phối hợp thực hiện giám định, cơ quan có thẩm quyền tiến hành tố tụng, người có thẩm quyền tiến hành tố tụng chủ trì, phối hợp với tổ chức được trưng cầu để giải quyết.”.</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56" w:name="dieu_16"/>
      <w:r w:rsidRPr="002C7640">
        <w:rPr>
          <w:rFonts w:ascii="Times New Roman" w:eastAsia="Times New Roman" w:hAnsi="Times New Roman" w:cs="Times New Roman"/>
          <w:sz w:val="24"/>
          <w:szCs w:val="24"/>
          <w:lang w:val="vi-VN"/>
        </w:rPr>
        <w:t>16. Bổ sung Điều 26a vào sau</w:t>
      </w:r>
      <w:r w:rsidRPr="002C7640">
        <w:rPr>
          <w:rFonts w:ascii="Times New Roman" w:eastAsia="Times New Roman" w:hAnsi="Times New Roman" w:cs="Times New Roman"/>
          <w:sz w:val="24"/>
          <w:szCs w:val="24"/>
        </w:rPr>
        <w:t xml:space="preserve"> </w:t>
      </w:r>
      <w:bookmarkStart w:id="57" w:name="dc_25"/>
      <w:bookmarkEnd w:id="56"/>
      <w:r w:rsidRPr="002C7640">
        <w:rPr>
          <w:rFonts w:ascii="Times New Roman" w:eastAsia="Times New Roman" w:hAnsi="Times New Roman" w:cs="Times New Roman"/>
          <w:sz w:val="24"/>
          <w:szCs w:val="24"/>
          <w:lang w:val="vi-VN"/>
        </w:rPr>
        <w:t xml:space="preserve">Điều 26 </w:t>
      </w:r>
      <w:bookmarkStart w:id="58" w:name="dieu_16_name"/>
      <w:bookmarkEnd w:id="57"/>
      <w:r w:rsidRPr="002C7640">
        <w:rPr>
          <w:rFonts w:ascii="Times New Roman" w:eastAsia="Times New Roman" w:hAnsi="Times New Roman" w:cs="Times New Roman"/>
          <w:sz w:val="24"/>
          <w:szCs w:val="24"/>
          <w:lang w:val="vi-VN"/>
        </w:rPr>
        <w:t xml:space="preserve">như sau: </w:t>
      </w:r>
      <w:bookmarkEnd w:id="58"/>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b/>
          <w:bCs/>
          <w:sz w:val="24"/>
          <w:szCs w:val="24"/>
          <w:lang w:val="vi-VN"/>
        </w:rPr>
        <w:t>“Điều 26a. Thời hạn giám định tư pháp trong trường hợp trưng cầu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1. Thời hạn giám định tư pháp được tính từ ngày cá nhân, tổ chức được trưng cầu giám định nhận được quyết định trưng cầu giám định và kèm theo đầy đủ hồ sơ, đối tượng giám định, thông tin, tài liệu, đồ vật, mẫu vật cần thiết cho việc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Trong quá trình thực hiện giám định, trường hợp cần phải bổ sung thêm hồ sơ, tài liệu làm cơ sở cho việc giám định thì cá nhân, tổ chức được trưng cầu có văn bản đề nghị người đã trưng cầu giám định bổ sung hồ sơ, tài liệu. Thời gian từ khi cá nhân, tổ chức được trưng cầu giám định có văn bản đề nghị đến khi nhận được hồ sơ, tài liệu bổ sung không tính vào thời hạn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2. Thời hạn giám định tư pháp đối với các trường hợp bắt buộc phải trưng cầu giám định tư pháp được thực hiện theo quy định của pháp luật về tố tụng hình sự.</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3. Thời hạn giám định tư pháp đối với các trường hợp không thuộc quy định tại khoản 2 Điều này tối đa là 03 tháng. Trường hợp vụ việc giám định có tính chất phức tạp hoặc khối lượng công việc lớn thì thời hạn giám định tối đa là 04 tháng.</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Bộ, cơ quan ngang bộ quản lý chuyên môn về lĩnh vực giám định tư pháp căn cứ vào thời hạn giám định tối đa và tính chất chuyên môn của lĩnh vực giám định quy định thời hạn giám định tư pháp cho từng loại việc cụ thể. Thời hạn giám định tư pháp có thể được gia hạn theo quyết định của cơ quan trưng cầu giám định nhưng không quá một phần hai thời hạn giám định tối đa đối với loại việc đó.</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4. Người trưng cầu giám định có thể thống nhất về thời hạn giám định với cá nhân, tổ chức được trưng cầu giám định trước khi trưng cầu giám định tư pháp nhưng không được vượt quá thời hạn quy định tại khoản 2 và khoản 3 Điều này.</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5. Trường hợp có vấn đề phát sinh hoặc có cơ sở cho rằng vụ việc giám định không thể hoàn thành đúng thời hạn thì cá nhân, tổ chức thực hiện giám định phải kịp thời thông báo bằng văn bản, nêu rõ lý do cho người trưng cầu giám định và thời gian dự kiến hoàn thành, ra kết luận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59" w:name="dieu_17"/>
      <w:r w:rsidRPr="002C7640">
        <w:rPr>
          <w:rFonts w:ascii="Times New Roman" w:eastAsia="Times New Roman" w:hAnsi="Times New Roman" w:cs="Times New Roman"/>
          <w:sz w:val="24"/>
          <w:szCs w:val="24"/>
          <w:lang w:val="vi-VN"/>
        </w:rPr>
        <w:t>17. Sửa đổi, bổ sung</w:t>
      </w:r>
      <w:r w:rsidRPr="002C7640">
        <w:rPr>
          <w:rFonts w:ascii="Times New Roman" w:eastAsia="Times New Roman" w:hAnsi="Times New Roman" w:cs="Times New Roman"/>
          <w:sz w:val="24"/>
          <w:szCs w:val="24"/>
        </w:rPr>
        <w:t xml:space="preserve"> </w:t>
      </w:r>
      <w:bookmarkStart w:id="60" w:name="dc_26"/>
      <w:bookmarkEnd w:id="59"/>
      <w:r w:rsidRPr="002C7640">
        <w:rPr>
          <w:rFonts w:ascii="Times New Roman" w:eastAsia="Times New Roman" w:hAnsi="Times New Roman" w:cs="Times New Roman"/>
          <w:sz w:val="24"/>
          <w:szCs w:val="24"/>
          <w:lang w:val="vi-VN"/>
        </w:rPr>
        <w:t xml:space="preserve">Điều 31 </w:t>
      </w:r>
      <w:bookmarkStart w:id="61" w:name="dieu_17_name"/>
      <w:bookmarkEnd w:id="60"/>
      <w:r w:rsidRPr="002C7640">
        <w:rPr>
          <w:rFonts w:ascii="Times New Roman" w:eastAsia="Times New Roman" w:hAnsi="Times New Roman" w:cs="Times New Roman"/>
          <w:sz w:val="24"/>
          <w:szCs w:val="24"/>
          <w:lang w:val="vi-VN"/>
        </w:rPr>
        <w:t xml:space="preserve">như sau: </w:t>
      </w:r>
      <w:bookmarkEnd w:id="61"/>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b/>
          <w:bCs/>
          <w:sz w:val="24"/>
          <w:szCs w:val="24"/>
          <w:lang w:val="vi-VN"/>
        </w:rPr>
        <w:t>“Điều 31. Văn bản ghi nhận quá trình thực hiện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1. Người thực hiện giám định tư pháp phải ghi nhận kịp thời, đầy đủ, trung thực bằng văn bản toàn bộ quá trình thực hiện vụ việc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2. Văn bản ghi nhận quá trình thực hiện giám định tư pháp nêu rõ tình trạng đối tượng gửi giám định và thông tin, tài liệu có liên quan gửi kèm theo làm căn cứ để thực hiện giám định, thời gian, địa điểm, nội dung công việc, tiến độ, phương pháp thực hiện giám định, kết quả thực hiện và phải có chữ ký của người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Văn bản ghi nhận quá trình thực hiện giám định tư pháp phải được lưu trong hồ sơ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62" w:name="dieu_18"/>
      <w:r w:rsidRPr="002C7640">
        <w:rPr>
          <w:rFonts w:ascii="Times New Roman" w:eastAsia="Times New Roman" w:hAnsi="Times New Roman" w:cs="Times New Roman"/>
          <w:sz w:val="24"/>
          <w:szCs w:val="24"/>
          <w:lang w:val="vi-VN"/>
        </w:rPr>
        <w:t>18. Sửa đổi, bổ sung</w:t>
      </w:r>
      <w:r w:rsidRPr="002C7640">
        <w:rPr>
          <w:rFonts w:ascii="Times New Roman" w:eastAsia="Times New Roman" w:hAnsi="Times New Roman" w:cs="Times New Roman"/>
          <w:sz w:val="24"/>
          <w:szCs w:val="24"/>
        </w:rPr>
        <w:t xml:space="preserve"> </w:t>
      </w:r>
      <w:bookmarkStart w:id="63" w:name="dc_27"/>
      <w:bookmarkEnd w:id="62"/>
      <w:r w:rsidRPr="002C7640">
        <w:rPr>
          <w:rFonts w:ascii="Times New Roman" w:eastAsia="Times New Roman" w:hAnsi="Times New Roman" w:cs="Times New Roman"/>
          <w:sz w:val="24"/>
          <w:szCs w:val="24"/>
          <w:lang w:val="vi-VN"/>
        </w:rPr>
        <w:t xml:space="preserve">Điều 32 </w:t>
      </w:r>
      <w:bookmarkStart w:id="64" w:name="dieu_18_name"/>
      <w:bookmarkEnd w:id="63"/>
      <w:r w:rsidRPr="002C7640">
        <w:rPr>
          <w:rFonts w:ascii="Times New Roman" w:eastAsia="Times New Roman" w:hAnsi="Times New Roman" w:cs="Times New Roman"/>
          <w:sz w:val="24"/>
          <w:szCs w:val="24"/>
          <w:lang w:val="vi-VN"/>
        </w:rPr>
        <w:t xml:space="preserve">như sau: </w:t>
      </w:r>
      <w:bookmarkEnd w:id="64"/>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b/>
          <w:bCs/>
          <w:sz w:val="24"/>
          <w:szCs w:val="24"/>
          <w:lang w:val="vi-VN"/>
        </w:rPr>
        <w:t>“Điều 32. Kết luận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lastRenderedPageBreak/>
        <w:t>1. Kết luận giám định tư pháp phải bằng văn bản, bao gồm các nội dung sau đây:</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a) Họ, tên người giám định tư pháp; tổ chức thực hiện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b) Tên cơ quan có thẩm quyền tiến hành tố tụng, họ, tên người có thẩm quyền tiến hành tố tụng trưng cầu giám định tư pháp; số văn bản trưng cầu giám định hoặc họ, tên người yêu cầu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c) Thông tin xác định đối tượng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d) Thời gian nhận văn bản trưng cầu, yêu cầu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đ) Nội dung yêu cầu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e) Phương pháp thực hiện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g) Kết luận rõ ràng, cụ thể về nội dung chuyên môn của đối tượng cần giám định theo trưng cầu, yêu cầu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h) Thời gian, địa điểm thực hiện, hoàn thành việc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2. Trong trường hợp trưng cầu, yêu cầu cá nhân thực hiện giám định tư pháp thì bản kết luận giám định tư pháp phải có chữ ký và ghi rõ họ, tên của người giám định tư pháp. Trường hợp yêu cầu tổ chức cử người giám định thì bản kết luận giám định tư pháp phải có đầy đủ chữ ký, ghi rõ họ, tên của người giám định tư pháp và có xác nhận chữ ký của tổ chức cử người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Trường hợp trưng cầu, yêu cầu tổ chức thực hiện giám định tư pháp thì ngoài chữ ký, họ, tên của người giám định, người đứng đầu tổ chức còn phải ký tên, đóng dấu vào bản kết luận giám định tư pháp và tổ chức được trưng cầu, yêu cầu giám định tư pháp phải chịu trách nhiệm về kết luận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Trường hợp Hội đồng giám định quy định tại khoản 1 Điều 30 của Luật này thực hiện giám định thì người có thẩm quyền quyết định thành lập Hội đồng phải ký tên, đóng dấu vào bản kết luận giám định tư pháp và chịu trách nhiệm về tư cách pháp lý của Hội đồng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3. Trong trường hợp việc giám định được thực hiện trước khi có quyết định khởi tố vụ án hình sự, theo đúng trình tự, thủ tục do Luật này quy định thì cơ quan có thẩm quyền tiến hành tố tụng có thể sử dụng kết luận giám định đó như kết luận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65" w:name="dieu_19"/>
      <w:r w:rsidRPr="002C7640">
        <w:rPr>
          <w:rFonts w:ascii="Times New Roman" w:eastAsia="Times New Roman" w:hAnsi="Times New Roman" w:cs="Times New Roman"/>
          <w:sz w:val="24"/>
          <w:szCs w:val="24"/>
          <w:lang w:val="vi-VN"/>
        </w:rPr>
        <w:t>19. Sửa đổi, bổ sung các</w:t>
      </w:r>
      <w:r w:rsidRPr="002C7640">
        <w:rPr>
          <w:rFonts w:ascii="Times New Roman" w:eastAsia="Times New Roman" w:hAnsi="Times New Roman" w:cs="Times New Roman"/>
          <w:sz w:val="24"/>
          <w:szCs w:val="24"/>
        </w:rPr>
        <w:t xml:space="preserve"> </w:t>
      </w:r>
      <w:bookmarkStart w:id="66" w:name="dc_28"/>
      <w:bookmarkEnd w:id="65"/>
      <w:r w:rsidRPr="002C7640">
        <w:rPr>
          <w:rFonts w:ascii="Times New Roman" w:eastAsia="Times New Roman" w:hAnsi="Times New Roman" w:cs="Times New Roman"/>
          <w:sz w:val="24"/>
          <w:szCs w:val="24"/>
          <w:lang w:val="vi-VN"/>
        </w:rPr>
        <w:t xml:space="preserve">khoản 2, 3 và 4 Điều 33 </w:t>
      </w:r>
      <w:bookmarkStart w:id="67" w:name="dieu_19_name"/>
      <w:bookmarkEnd w:id="66"/>
      <w:r w:rsidRPr="002C7640">
        <w:rPr>
          <w:rFonts w:ascii="Times New Roman" w:eastAsia="Times New Roman" w:hAnsi="Times New Roman" w:cs="Times New Roman"/>
          <w:sz w:val="24"/>
          <w:szCs w:val="24"/>
          <w:lang w:val="vi-VN"/>
        </w:rPr>
        <w:t xml:space="preserve">như sau: </w:t>
      </w:r>
      <w:bookmarkEnd w:id="67"/>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“2. Hồ sơ giám định tư pháp phải được lập theo mẫu thống nhất.</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Bộ trưởng, Thủ trưởng cơ quan ngang bộ có trách nhiệm quy định chi tiết về mẫu, thành phần hồ sơ từng loại việc giám định và chế độ lưu trữ hồ sơ giám định tư pháp ở lĩnh vực thuộc thẩm quyền quản lý.</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3. Tổ chức được trưng cầu, thực hiện giám định tư pháp chịu trách nhiệm bảo quản, lưu trữ hồ sơ giám định tư pháp do người giám định thuộc tổ chức mình thực hiện theo quy định của pháp luật về lưu trữ và quy định của bộ, ngành, cơ quan mình.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Người thực hiện giám định có trách nhiệm bàn giao hồ sơ giám định tư pháp cho cơ quan, tổ chức quản lý trực tiếp theo quy định của pháp luật về lưu trữ và quy định của bộ, ngành, cơ quan mình.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lastRenderedPageBreak/>
        <w:t>4. Hồ sơ giám định tư pháp được xuất trình khi có yêu cầu của cơ quan có thẩm quyền tiến hành tố tụng, người có thẩm quyền tiến hành tố tụng giải quyết vụ án hình sự, vụ án hành chính, vụ việc dân sự.”.</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68" w:name="dieu_20"/>
      <w:r w:rsidRPr="002C7640">
        <w:rPr>
          <w:rFonts w:ascii="Times New Roman" w:eastAsia="Times New Roman" w:hAnsi="Times New Roman" w:cs="Times New Roman"/>
          <w:sz w:val="24"/>
          <w:szCs w:val="24"/>
          <w:lang w:val="vi-VN"/>
        </w:rPr>
        <w:t>20. Sửa đổi, bổ sung</w:t>
      </w:r>
      <w:r w:rsidRPr="002C7640">
        <w:rPr>
          <w:rFonts w:ascii="Times New Roman" w:eastAsia="Times New Roman" w:hAnsi="Times New Roman" w:cs="Times New Roman"/>
          <w:sz w:val="24"/>
          <w:szCs w:val="24"/>
        </w:rPr>
        <w:t xml:space="preserve"> </w:t>
      </w:r>
      <w:bookmarkStart w:id="69" w:name="dc_29"/>
      <w:bookmarkEnd w:id="68"/>
      <w:r w:rsidRPr="002C7640">
        <w:rPr>
          <w:rFonts w:ascii="Times New Roman" w:eastAsia="Times New Roman" w:hAnsi="Times New Roman" w:cs="Times New Roman"/>
          <w:sz w:val="24"/>
          <w:szCs w:val="24"/>
          <w:lang w:val="vi-VN"/>
        </w:rPr>
        <w:t xml:space="preserve">Điều 36 </w:t>
      </w:r>
      <w:bookmarkStart w:id="70" w:name="dieu_20_name"/>
      <w:bookmarkEnd w:id="69"/>
      <w:r w:rsidRPr="002C7640">
        <w:rPr>
          <w:rFonts w:ascii="Times New Roman" w:eastAsia="Times New Roman" w:hAnsi="Times New Roman" w:cs="Times New Roman"/>
          <w:sz w:val="24"/>
          <w:szCs w:val="24"/>
          <w:lang w:val="vi-VN"/>
        </w:rPr>
        <w:t xml:space="preserve">như sau: </w:t>
      </w:r>
      <w:bookmarkEnd w:id="70"/>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b/>
          <w:bCs/>
          <w:sz w:val="24"/>
          <w:szCs w:val="24"/>
          <w:lang w:val="vi-VN"/>
        </w:rPr>
        <w:t>“Điều 36. Chi phí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1. Người trưng cầu giám định, người yêu cầu giám định có trách nhiệm trả chi phí giám định tư pháp cho cá nhân, tổ chức thực hiện giám định tư pháp theo quy định của pháp luật về chi phí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2. Kinh phí thanh toán chi phí giám định tư pháp mà cơ quan có thẩm quyền tiến hành tố tụng có trách nhiệm chi trả được bảo đảm từ ngân sách nhà nước theo dự toán hằng năm của cơ quan đó để thực hiện nhiệm vụ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71" w:name="dieu_21"/>
      <w:r w:rsidRPr="002C7640">
        <w:rPr>
          <w:rFonts w:ascii="Times New Roman" w:eastAsia="Times New Roman" w:hAnsi="Times New Roman" w:cs="Times New Roman"/>
          <w:sz w:val="24"/>
          <w:szCs w:val="24"/>
          <w:lang w:val="vi-VN"/>
        </w:rPr>
        <w:t>21. Bổ sung khoản 1a vào sau</w:t>
      </w:r>
      <w:r w:rsidRPr="002C7640">
        <w:rPr>
          <w:rFonts w:ascii="Times New Roman" w:eastAsia="Times New Roman" w:hAnsi="Times New Roman" w:cs="Times New Roman"/>
          <w:sz w:val="24"/>
          <w:szCs w:val="24"/>
        </w:rPr>
        <w:t xml:space="preserve"> </w:t>
      </w:r>
      <w:bookmarkStart w:id="72" w:name="dc_30"/>
      <w:bookmarkEnd w:id="71"/>
      <w:r w:rsidRPr="002C7640">
        <w:rPr>
          <w:rFonts w:ascii="Times New Roman" w:eastAsia="Times New Roman" w:hAnsi="Times New Roman" w:cs="Times New Roman"/>
          <w:sz w:val="24"/>
          <w:szCs w:val="24"/>
          <w:lang w:val="vi-VN"/>
        </w:rPr>
        <w:t xml:space="preserve">khoản 1 Điều 37 </w:t>
      </w:r>
      <w:bookmarkStart w:id="73" w:name="dieu_21_name"/>
      <w:bookmarkEnd w:id="72"/>
      <w:r w:rsidRPr="002C7640">
        <w:rPr>
          <w:rFonts w:ascii="Times New Roman" w:eastAsia="Times New Roman" w:hAnsi="Times New Roman" w:cs="Times New Roman"/>
          <w:sz w:val="24"/>
          <w:szCs w:val="24"/>
          <w:lang w:val="vi-VN"/>
        </w:rPr>
        <w:t xml:space="preserve">như sau: </w:t>
      </w:r>
      <w:bookmarkEnd w:id="73"/>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“1a. Việc thực hiện giám định tư pháp của công chức, viên chức, sĩ quan quân đội, sĩ quan công an nhân dân, quân nhân chuyên nghiệp, công nhân quốc phòng là hoạt động công vụ. Cơ quan, tổ chức quản lý trực tiếp có trách nhiệm bảo đảm đủ thời gian và các điều kiện cần thiết khác cho việc thực hiện giám định. Người thực hiện giám định được hưởng các chế độ, chính sách theo quy định của pháp luật</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Người giám định tư pháp không hưởng lương từ ngân sách nhà nước, tổ chức giám định tư pháp theo vụ việc không do Nhà nước bảo đảm kinh phí hoạt động tiếp nhận và thực hiện giám định tư pháp trên cơ sở thỏa thuận với người trưng cầu giám định, người yêu cầu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74" w:name="dieu_22"/>
      <w:r w:rsidRPr="002C7640">
        <w:rPr>
          <w:rFonts w:ascii="Times New Roman" w:eastAsia="Times New Roman" w:hAnsi="Times New Roman" w:cs="Times New Roman"/>
          <w:sz w:val="24"/>
          <w:szCs w:val="24"/>
          <w:lang w:val="vi-VN"/>
        </w:rPr>
        <w:t>22. Sửa đổi, bổ sung</w:t>
      </w:r>
      <w:r w:rsidRPr="002C7640">
        <w:rPr>
          <w:rFonts w:ascii="Times New Roman" w:eastAsia="Times New Roman" w:hAnsi="Times New Roman" w:cs="Times New Roman"/>
          <w:sz w:val="24"/>
          <w:szCs w:val="24"/>
        </w:rPr>
        <w:t xml:space="preserve"> </w:t>
      </w:r>
      <w:bookmarkStart w:id="75" w:name="dc_31"/>
      <w:bookmarkEnd w:id="74"/>
      <w:r w:rsidRPr="002C7640">
        <w:rPr>
          <w:rFonts w:ascii="Times New Roman" w:eastAsia="Times New Roman" w:hAnsi="Times New Roman" w:cs="Times New Roman"/>
          <w:sz w:val="24"/>
          <w:szCs w:val="24"/>
          <w:lang w:val="vi-VN"/>
        </w:rPr>
        <w:t xml:space="preserve">khoản 2 Điều 38 </w:t>
      </w:r>
      <w:bookmarkStart w:id="76" w:name="dieu_22_name"/>
      <w:bookmarkEnd w:id="75"/>
      <w:r w:rsidRPr="002C7640">
        <w:rPr>
          <w:rFonts w:ascii="Times New Roman" w:eastAsia="Times New Roman" w:hAnsi="Times New Roman" w:cs="Times New Roman"/>
          <w:sz w:val="24"/>
          <w:szCs w:val="24"/>
          <w:lang w:val="vi-VN"/>
        </w:rPr>
        <w:t xml:space="preserve">như sau: </w:t>
      </w:r>
      <w:bookmarkEnd w:id="76"/>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“2. Người giám định tư pháp, tổ chức giám định tư pháp, tổ chức giám định tư pháp theo vụ việc có đóng góp tích cực cho hoạt động giám định tư pháp thì được tôn vinh, khen thưởng.”.</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77" w:name="dieu_23"/>
      <w:r w:rsidRPr="002C7640">
        <w:rPr>
          <w:rFonts w:ascii="Times New Roman" w:eastAsia="Times New Roman" w:hAnsi="Times New Roman" w:cs="Times New Roman"/>
          <w:sz w:val="24"/>
          <w:szCs w:val="24"/>
          <w:lang w:val="vi-VN"/>
        </w:rPr>
        <w:t>23. Sửa đổi, bổ sung</w:t>
      </w:r>
      <w:r w:rsidRPr="002C7640">
        <w:rPr>
          <w:rFonts w:ascii="Times New Roman" w:eastAsia="Times New Roman" w:hAnsi="Times New Roman" w:cs="Times New Roman"/>
          <w:sz w:val="24"/>
          <w:szCs w:val="24"/>
        </w:rPr>
        <w:t xml:space="preserve"> </w:t>
      </w:r>
      <w:bookmarkStart w:id="78" w:name="dc_32"/>
      <w:bookmarkEnd w:id="77"/>
      <w:r w:rsidRPr="002C7640">
        <w:rPr>
          <w:rFonts w:ascii="Times New Roman" w:eastAsia="Times New Roman" w:hAnsi="Times New Roman" w:cs="Times New Roman"/>
          <w:sz w:val="24"/>
          <w:szCs w:val="24"/>
          <w:lang w:val="vi-VN"/>
        </w:rPr>
        <w:t xml:space="preserve">Điều 41 </w:t>
      </w:r>
      <w:bookmarkStart w:id="79" w:name="dieu_23_name"/>
      <w:bookmarkEnd w:id="78"/>
      <w:r w:rsidRPr="002C7640">
        <w:rPr>
          <w:rFonts w:ascii="Times New Roman" w:eastAsia="Times New Roman" w:hAnsi="Times New Roman" w:cs="Times New Roman"/>
          <w:sz w:val="24"/>
          <w:szCs w:val="24"/>
          <w:lang w:val="vi-VN"/>
        </w:rPr>
        <w:t xml:space="preserve">như sau: </w:t>
      </w:r>
      <w:bookmarkEnd w:id="79"/>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b/>
          <w:bCs/>
          <w:sz w:val="24"/>
          <w:szCs w:val="24"/>
          <w:lang w:val="vi-VN"/>
        </w:rPr>
        <w:t>“Điều 41. Nhiệm vụ, quyền hạn của bộ, cơ quan ngang bộ, cơ quan thuộc Chính phủ</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1. Bộ, cơ quan ngang bộ quản lý chuyên môn về lĩnh vực giám định tư pháp có nhiệm vụ, quyền hạn sau đây:</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a) Ban hành hoặc trình cơ quan nhà nước có thẩm quyền ban hành văn bản quy phạm pháp luật về giám định tư pháp ở lĩnh vực giám định thuộc thẩm quyền quản lý và hướng dẫn thi hành các văn bản đó;</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b) Ban hành quy trình giám định; ban hành hoặc hướng dẫn áp dụng quy chuẩn chuyên môn cho hoạt động giám định tư pháp; căn cứ yêu cầu và tính chất đặc thù của lĩnh vực thuộc thẩm quyền quản lý quy định cụ thể về thời hạn đối với từng loại việc giám định;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c) Chủ trì, phối hợp với Bộ Tư pháp trong việc quyết định thành lập, củng cố, kiện toàn tổ chức giám định tư pháp công lập thuộc thẩm quyền quản lý theo quy định của Luật này; phân công đơn vị thuộc bộ, cơ quan ngang bộ làm đầu mối quản lý chung công tác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d) Bổ nhiệm, miễn nhiệm, cấp thẻ, thu hồi thẻ giám định viên tư pháp theo thẩm quyền; công nhận danh sách người giám định tư pháp theo vụ việc, tổ chức giám định tư pháp theo vụ việc; đăng tải và cập nhật danh sách cá nhân, tổ chức giám định tư pháp trên cổng thông tin điện tử của bộ, ngành mình, đồng thời gửi danh sách đó cho Bộ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lastRenderedPageBreak/>
        <w:t>đ) Chịu trách nhiệm trước Chính phủ, Thủ tướng Chính phủ về bảo đảm số lượng, chất lượng hoạt động của người giám định tư pháp, tổ chức giám định tư pháp; bảo đảm kinh phí, trang thiết bị, phương tiện giám định và điều kiện vật chất cần thiết khác cho cá nhân, tổ chức giám định thuộc bộ, ngành mình quản lý;</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e) Hằng năm, đánh giá chất lượng hoạt động của cá nhân, tổ chức giám định tư pháp thuộc thẩm quyền quản lý; kịp thời tôn vinh, khen thưởng cá nhân, tổ chức giám định tư pháp có thành tích xuất sắc trong hoạt động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g) Quy định điều kiện về cơ sở vật chất, trang thiết bị, phương tiện giám định của Văn phòng giám định tư pháp, tổ chức giám định tư pháp theo vụ việc ở lĩnh vực thuộc thẩm quyền quản lý;</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h) Tổ chức bồi dưỡng nghiệp vụ giám định tư pháp, kiến thức pháp luật cho người giám định tư pháp ở lĩnh vực thuộc thẩm quyền quản lý;</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i) Kiểm tra, thanh tra và giải quyết khiếu nại, tố cáo về tổ chức, hoạt động giám định tư pháp ở lĩnh vực thuộc thẩm quyền quản lý; phối hợp với Bộ Tư pháp trong công tác kiểm tra, thanh tra về tổ chức, hoạt động giám định tư pháp theo quy định tại khoản 6 Điều 40 của Luật này;</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k) Thực hiện hợp tác quốc tế về giám định tư pháp ở lĩnh vực thuộc thẩm quyền quản lý;</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l) Trước ngày 31 tháng 12 hằng năm, tổng kết về tổ chức, hoạt động giám định tư pháp ở lĩnh vực thuộc thẩm quyền quản lý và gửi báo cáo về Bộ Tư pháp để tổng hợp, báo cáo Chính phủ.</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2. Cơ quan thuộc Chính phủ có nhiệm vụ, quyền hạn sau đây:</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a) Xây dựng quy trình giám định đề nghị bộ, cơ quan ngang bộ quản lý chuyên môn về lĩnh vực giám định tư pháp ban hành theo thẩm quyền;</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b) Công nhận danh sách người giám định tư pháp theo vụ việc, tổ chức giám định tư pháp theo vụ việc; đăng tải và cập nhật danh sách cá nhân, tổ chức giám định tư pháp trên cổng thông tin điện tử của cơ quan mình, đồng thời gửi danh sách đó cho Bộ Tư pháp; hằng năm, tổng kết, gửi Bộ Tư pháp báo cáo về hoạt động giám định tư pháp của cơ quan mình;</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c) Nhiệm vụ, quyền hạn quy định tại các điểm đ, e và h khoản 1 Điều này.”.</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80" w:name="dieu_24"/>
      <w:r w:rsidRPr="002C7640">
        <w:rPr>
          <w:rFonts w:ascii="Times New Roman" w:eastAsia="Times New Roman" w:hAnsi="Times New Roman" w:cs="Times New Roman"/>
          <w:sz w:val="24"/>
          <w:szCs w:val="24"/>
          <w:lang w:val="vi-VN"/>
        </w:rPr>
        <w:t>24. Sửa đổi, bổ sung một số khoản của</w:t>
      </w:r>
      <w:r w:rsidRPr="002C7640">
        <w:rPr>
          <w:rFonts w:ascii="Times New Roman" w:eastAsia="Times New Roman" w:hAnsi="Times New Roman" w:cs="Times New Roman"/>
          <w:sz w:val="24"/>
          <w:szCs w:val="24"/>
        </w:rPr>
        <w:t xml:space="preserve"> </w:t>
      </w:r>
      <w:bookmarkStart w:id="81" w:name="dc_33"/>
      <w:bookmarkEnd w:id="80"/>
      <w:r w:rsidRPr="002C7640">
        <w:rPr>
          <w:rFonts w:ascii="Times New Roman" w:eastAsia="Times New Roman" w:hAnsi="Times New Roman" w:cs="Times New Roman"/>
          <w:sz w:val="24"/>
          <w:szCs w:val="24"/>
          <w:lang w:val="vi-VN"/>
        </w:rPr>
        <w:t xml:space="preserve">Điều 42 </w:t>
      </w:r>
      <w:bookmarkStart w:id="82" w:name="dieu_24_name"/>
      <w:bookmarkEnd w:id="81"/>
      <w:r w:rsidRPr="002C7640">
        <w:rPr>
          <w:rFonts w:ascii="Times New Roman" w:eastAsia="Times New Roman" w:hAnsi="Times New Roman" w:cs="Times New Roman"/>
          <w:sz w:val="24"/>
          <w:szCs w:val="24"/>
          <w:lang w:val="vi-VN"/>
        </w:rPr>
        <w:t xml:space="preserve">như sau: </w:t>
      </w:r>
      <w:bookmarkEnd w:id="82"/>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 xml:space="preserve">a) Sửa đổi, bổ sung </w:t>
      </w:r>
      <w:bookmarkStart w:id="83" w:name="dc_34"/>
      <w:r w:rsidRPr="002C7640">
        <w:rPr>
          <w:rFonts w:ascii="Times New Roman" w:eastAsia="Times New Roman" w:hAnsi="Times New Roman" w:cs="Times New Roman"/>
          <w:sz w:val="24"/>
          <w:szCs w:val="24"/>
          <w:lang w:val="vi-VN"/>
        </w:rPr>
        <w:t xml:space="preserve">điểm đ khoản 2 </w:t>
      </w:r>
      <w:bookmarkEnd w:id="83"/>
      <w:r w:rsidRPr="002C7640">
        <w:rPr>
          <w:rFonts w:ascii="Times New Roman" w:eastAsia="Times New Roman" w:hAnsi="Times New Roman" w:cs="Times New Roman"/>
          <w:sz w:val="24"/>
          <w:szCs w:val="24"/>
          <w:lang w:val="vi-VN"/>
        </w:rPr>
        <w:t>như sau:</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“đ) Ban hành chỉ tiêu thống kê, thực hiện thống kê hằng năm về trưng cầu, yêu cầu giám định tư pháp, đánh giá việc thực hiện giám định tư pháp và sử dụng kết luận giám định tư pháp, nhu cầu giám định trong hệ thống cơ quan điều tra thuộc thẩm quyền quản lý;”;</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 xml:space="preserve">b) Sửa đổi, bổ sung điểm h và bổ sung điểm i vào sau </w:t>
      </w:r>
      <w:bookmarkStart w:id="84" w:name="dc_35"/>
      <w:r w:rsidRPr="002C7640">
        <w:rPr>
          <w:rFonts w:ascii="Times New Roman" w:eastAsia="Times New Roman" w:hAnsi="Times New Roman" w:cs="Times New Roman"/>
          <w:sz w:val="24"/>
          <w:szCs w:val="24"/>
          <w:lang w:val="vi-VN"/>
        </w:rPr>
        <w:t xml:space="preserve">điểm h khoản 2 </w:t>
      </w:r>
      <w:bookmarkEnd w:id="84"/>
      <w:r w:rsidRPr="002C7640">
        <w:rPr>
          <w:rFonts w:ascii="Times New Roman" w:eastAsia="Times New Roman" w:hAnsi="Times New Roman" w:cs="Times New Roman"/>
          <w:sz w:val="24"/>
          <w:szCs w:val="24"/>
          <w:lang w:val="vi-VN"/>
        </w:rPr>
        <w:t>như sau:</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“h) Hằng năm, tổng kết và gửi báo cáo về Bộ Tư pháp, đồng thời gửi bộ, ngành có liên quan về tình hình trưng cầu giám định tư pháp, đánh giá việc thực hiện giám định tư pháp và sử dụng kết luận giám định tư pháp, nhu cầu giám định trong hệ thống cơ quan điều tra thuộc thẩm quyền quản lý; chỉ đạo Công an cấp tỉnh gửi báo cáo về Sở Tư pháp, đồng thời gửi sở, ngành có liên quan về tình hình trưng cầu giám định tư pháp, đánh giá việc thực hiện giám định tư pháp và sử dụng kết luận giám định tư pháp, nhu cầu giám định ở địa phương;</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i) Lập dự toán và đề nghị cơ quan có thẩm quyền cấp kinh phí bảo đảm chi trả chi phí giám định tư pháp; trường hợp kinh phí được cấp không đủ thì lập dự toán để cấp bổ sung bảo đảm chi trả kịp thời, đầy đủ chi phí giám định tư pháp theo quy định của pháp luật về ngân sách nhà nước.”;</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lastRenderedPageBreak/>
        <w:t xml:space="preserve">c) Sửa đổi, bổ sung </w:t>
      </w:r>
      <w:bookmarkStart w:id="85" w:name="dc_36"/>
      <w:r w:rsidRPr="002C7640">
        <w:rPr>
          <w:rFonts w:ascii="Times New Roman" w:eastAsia="Times New Roman" w:hAnsi="Times New Roman" w:cs="Times New Roman"/>
          <w:sz w:val="24"/>
          <w:szCs w:val="24"/>
          <w:lang w:val="vi-VN"/>
        </w:rPr>
        <w:t xml:space="preserve">khoản 3 </w:t>
      </w:r>
      <w:bookmarkEnd w:id="85"/>
      <w:r w:rsidRPr="002C7640">
        <w:rPr>
          <w:rFonts w:ascii="Times New Roman" w:eastAsia="Times New Roman" w:hAnsi="Times New Roman" w:cs="Times New Roman"/>
          <w:sz w:val="24"/>
          <w:szCs w:val="24"/>
          <w:lang w:val="vi-VN"/>
        </w:rPr>
        <w:t>như sau:</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“3. Bộ Quốc phòng có nhiệm vụ, quyền hạn quy định tại các điểm đ, e, g và i khoản 2 Điều này; hằng năm, tổng kết và gửi báo cáo về Bộ Tư pháp, đồng thời gửi bộ, ngành có liên quan về tình hình trưng cầu giám định tư pháp, đánh giá việc thực hiện giám định tư pháp và sử dụng kết luận giám định tư pháp, nhu cầu giám định trong hệ thống cơ quan điều tra thuộc thẩm quyền quản lý.”.</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86" w:name="dieu_25"/>
      <w:r w:rsidRPr="002C7640">
        <w:rPr>
          <w:rFonts w:ascii="Times New Roman" w:eastAsia="Times New Roman" w:hAnsi="Times New Roman" w:cs="Times New Roman"/>
          <w:sz w:val="24"/>
          <w:szCs w:val="24"/>
          <w:lang w:val="vi-VN"/>
        </w:rPr>
        <w:t>25. Sửa đổi, bổ sung một số điểm, khoản của</w:t>
      </w:r>
      <w:r w:rsidRPr="002C7640">
        <w:rPr>
          <w:rFonts w:ascii="Times New Roman" w:eastAsia="Times New Roman" w:hAnsi="Times New Roman" w:cs="Times New Roman"/>
          <w:sz w:val="24"/>
          <w:szCs w:val="24"/>
        </w:rPr>
        <w:t xml:space="preserve"> </w:t>
      </w:r>
      <w:bookmarkStart w:id="87" w:name="dc_37"/>
      <w:bookmarkEnd w:id="86"/>
      <w:r w:rsidRPr="002C7640">
        <w:rPr>
          <w:rFonts w:ascii="Times New Roman" w:eastAsia="Times New Roman" w:hAnsi="Times New Roman" w:cs="Times New Roman"/>
          <w:sz w:val="24"/>
          <w:szCs w:val="24"/>
          <w:lang w:val="vi-VN"/>
        </w:rPr>
        <w:t xml:space="preserve">Điều 43 </w:t>
      </w:r>
      <w:bookmarkStart w:id="88" w:name="dieu_25_name"/>
      <w:bookmarkEnd w:id="87"/>
      <w:r w:rsidRPr="002C7640">
        <w:rPr>
          <w:rFonts w:ascii="Times New Roman" w:eastAsia="Times New Roman" w:hAnsi="Times New Roman" w:cs="Times New Roman"/>
          <w:sz w:val="24"/>
          <w:szCs w:val="24"/>
          <w:lang w:val="vi-VN"/>
        </w:rPr>
        <w:t xml:space="preserve">như sau: </w:t>
      </w:r>
      <w:bookmarkEnd w:id="88"/>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 xml:space="preserve">a) Sửa đổi, bổ sung các </w:t>
      </w:r>
      <w:bookmarkStart w:id="89" w:name="dc_38"/>
      <w:r w:rsidRPr="002C7640">
        <w:rPr>
          <w:rFonts w:ascii="Times New Roman" w:eastAsia="Times New Roman" w:hAnsi="Times New Roman" w:cs="Times New Roman"/>
          <w:sz w:val="24"/>
          <w:szCs w:val="24"/>
          <w:lang w:val="vi-VN"/>
        </w:rPr>
        <w:t xml:space="preserve">điểm a, b, c, d và đ khoản 1 </w:t>
      </w:r>
      <w:bookmarkEnd w:id="89"/>
      <w:r w:rsidRPr="002C7640">
        <w:rPr>
          <w:rFonts w:ascii="Times New Roman" w:eastAsia="Times New Roman" w:hAnsi="Times New Roman" w:cs="Times New Roman"/>
          <w:sz w:val="24"/>
          <w:szCs w:val="24"/>
          <w:lang w:val="vi-VN"/>
        </w:rPr>
        <w:t>như sau:</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“a) Thành lập tổ chức giám định tư pháp công lập; quyết định cho phép thành lập Văn phòng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b) Bổ nhiệm, miễn nhiệm, cấp thẻ, thu hồi thẻ giám định viên tư pháp theo thẩm quyền; công nhận danh sách người giám định tư pháp theo vụ việc, tổ chức giám định tư pháp theo vụ việc ở địa phương; đăng tải và cập nhật danh sách cá nhân, tổ chức giám định tư pháp trên cổng thông tin điện tử của Ủy ban nhân dân cấp tỉnh, đồng thời gửi danh sách đó cho Bộ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c) Bảo đảm kinh phí, trang thiết bị, phương tiện giám định và điều kiện vật chất cần thiết khác cho cá nhân, tổ chức giám định tư pháp thuộc thẩm quyền quản lý;</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d) Tổ chức bồi dưỡng kiến thức pháp luật cho người giám định tư pháp ở địa phương;</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đ) Hằng năm, đánh giá chất lượng hoạt động của cá nhân, tổ chức giám định tư pháp ở địa phương theo quy định của Chính phủ, kịp thời tôn vinh, khen thưởng cá nhân, tổ chức giám định tư pháp có thành tích xuất sắc trong hoạt động giám định tư pháp và báo cáo kết quả cho Bộ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b) Sửa đổi, bổ sung khoản 2 như sau:</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“2. Sở Tư pháp có trách nhiệm giúp Ủy ban nhân dân cấp tỉnh quản lý nhà nước về giám định tư pháp ở địa phương; chủ trì, phối hợp với cơ quan chuyên môn khác giúp Ủy ban nhân dân cấp tỉnh quản lý hoạt động của Văn phòng giám định tư pháp.</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Cơ quan chuyên môn thuộc Ủy ban nhân dân cấp tỉnh quản lý lĩnh vực giám định tư pháp chịu trách nhiệm trước Ủy ban nhân dân cấp tỉnh về tổ chức, hoạt động giám định tư pháp thuộc lĩnh vực quản lý; phối hợp với Sở Tư pháp giúp Ủy ban nhân dân cấp tỉnh trong quản lý nhà nước về giám định tư pháp ở địa phương; phân công đơn vị làm đầu mối giúp cơ quan chuyên môn trong việc quản lý công tác giám định tư pháp ở lĩnh vực thuộc thẩm quyền quản lý.”.</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90" w:name="dieu_26"/>
      <w:r w:rsidRPr="002C7640">
        <w:rPr>
          <w:rFonts w:ascii="Times New Roman" w:eastAsia="Times New Roman" w:hAnsi="Times New Roman" w:cs="Times New Roman"/>
          <w:sz w:val="24"/>
          <w:szCs w:val="24"/>
          <w:lang w:val="vi-VN"/>
        </w:rPr>
        <w:t>26. Sửa đổi, bổ sung một số khoản của</w:t>
      </w:r>
      <w:r w:rsidRPr="002C7640">
        <w:rPr>
          <w:rFonts w:ascii="Times New Roman" w:eastAsia="Times New Roman" w:hAnsi="Times New Roman" w:cs="Times New Roman"/>
          <w:sz w:val="24"/>
          <w:szCs w:val="24"/>
        </w:rPr>
        <w:t xml:space="preserve"> </w:t>
      </w:r>
      <w:bookmarkStart w:id="91" w:name="dc_39"/>
      <w:bookmarkEnd w:id="90"/>
      <w:r w:rsidRPr="002C7640">
        <w:rPr>
          <w:rFonts w:ascii="Times New Roman" w:eastAsia="Times New Roman" w:hAnsi="Times New Roman" w:cs="Times New Roman"/>
          <w:sz w:val="24"/>
          <w:szCs w:val="24"/>
          <w:lang w:val="vi-VN"/>
        </w:rPr>
        <w:t xml:space="preserve">Điều 44 </w:t>
      </w:r>
      <w:bookmarkStart w:id="92" w:name="dieu_26_name"/>
      <w:bookmarkEnd w:id="91"/>
      <w:r w:rsidRPr="002C7640">
        <w:rPr>
          <w:rFonts w:ascii="Times New Roman" w:eastAsia="Times New Roman" w:hAnsi="Times New Roman" w:cs="Times New Roman"/>
          <w:sz w:val="24"/>
          <w:szCs w:val="24"/>
          <w:lang w:val="vi-VN"/>
        </w:rPr>
        <w:t xml:space="preserve">như sau: </w:t>
      </w:r>
      <w:bookmarkEnd w:id="92"/>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 xml:space="preserve">a) Sửa đổi, bổ sung </w:t>
      </w:r>
      <w:bookmarkStart w:id="93" w:name="dc_40"/>
      <w:r w:rsidRPr="002C7640">
        <w:rPr>
          <w:rFonts w:ascii="Times New Roman" w:eastAsia="Times New Roman" w:hAnsi="Times New Roman" w:cs="Times New Roman"/>
          <w:sz w:val="24"/>
          <w:szCs w:val="24"/>
          <w:lang w:val="vi-VN"/>
        </w:rPr>
        <w:t xml:space="preserve">khoản 2 </w:t>
      </w:r>
      <w:bookmarkEnd w:id="93"/>
      <w:r w:rsidRPr="002C7640">
        <w:rPr>
          <w:rFonts w:ascii="Times New Roman" w:eastAsia="Times New Roman" w:hAnsi="Times New Roman" w:cs="Times New Roman"/>
          <w:sz w:val="24"/>
          <w:szCs w:val="24"/>
          <w:lang w:val="vi-VN"/>
        </w:rPr>
        <w:t>như sau:</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“2. Ban hành chỉ tiêu thống kê, thực hiện thống kê về trưng cầu, đánh giá việc thực hiện giám định tư pháp và sử dụng kết luận giám định tư pháp, nhu cầu giám định trong hệ thống cơ quan Tòa án nhân dân, Viện kiểm sát nhân dân và báo cáo Quốc hội trong báo cáo công tác hằng năm, đồng thời gửi báo cáo về Bộ Tư pháp, bộ, ngành có liên quan; chỉ đạo Tòa án nhân dân, Viện kiểm sát nhân dân cấp tỉnh gửi báo cáo về Sở Tư pháp, đồng thời gửi sở, ngành có liên quan về tình hình trưng cầu giám định tư pháp, đánh giá việc thực hiện giám định tư pháp và sử dụng kết luận giám định tư pháp, nhu cầu giám định ở địa phương.”;</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 xml:space="preserve">b) Sửa đổi, bổ sung </w:t>
      </w:r>
      <w:bookmarkStart w:id="94" w:name="dc_41"/>
      <w:r w:rsidRPr="002C7640">
        <w:rPr>
          <w:rFonts w:ascii="Times New Roman" w:eastAsia="Times New Roman" w:hAnsi="Times New Roman" w:cs="Times New Roman"/>
          <w:sz w:val="24"/>
          <w:szCs w:val="24"/>
          <w:lang w:val="vi-VN"/>
        </w:rPr>
        <w:t xml:space="preserve">khoản 4 </w:t>
      </w:r>
      <w:bookmarkEnd w:id="94"/>
      <w:r w:rsidRPr="002C7640">
        <w:rPr>
          <w:rFonts w:ascii="Times New Roman" w:eastAsia="Times New Roman" w:hAnsi="Times New Roman" w:cs="Times New Roman"/>
          <w:sz w:val="24"/>
          <w:szCs w:val="24"/>
          <w:lang w:val="vi-VN"/>
        </w:rPr>
        <w:t xml:space="preserve">, bổ sung khoản 5 và khoản 6 vào sau </w:t>
      </w:r>
      <w:bookmarkStart w:id="95" w:name="dc_42"/>
      <w:r w:rsidRPr="002C7640">
        <w:rPr>
          <w:rFonts w:ascii="Times New Roman" w:eastAsia="Times New Roman" w:hAnsi="Times New Roman" w:cs="Times New Roman"/>
          <w:sz w:val="24"/>
          <w:szCs w:val="24"/>
          <w:lang w:val="vi-VN"/>
        </w:rPr>
        <w:t xml:space="preserve">khoản 4 </w:t>
      </w:r>
      <w:bookmarkEnd w:id="95"/>
      <w:r w:rsidRPr="002C7640">
        <w:rPr>
          <w:rFonts w:ascii="Times New Roman" w:eastAsia="Times New Roman" w:hAnsi="Times New Roman" w:cs="Times New Roman"/>
          <w:sz w:val="24"/>
          <w:szCs w:val="24"/>
          <w:lang w:val="vi-VN"/>
        </w:rPr>
        <w:t>như sau:</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 xml:space="preserve">“4. Lập dự toán và đề nghị cơ quan có thẩm quyền cấp kinh phí bảo đảm chi trả chi phí giám định tư pháp, chi phí tham dự phiên tòa của người giám định trong hệ thống cơ quan Tòa án </w:t>
      </w:r>
      <w:r w:rsidRPr="002C7640">
        <w:rPr>
          <w:rFonts w:ascii="Times New Roman" w:eastAsia="Times New Roman" w:hAnsi="Times New Roman" w:cs="Times New Roman"/>
          <w:sz w:val="24"/>
          <w:szCs w:val="24"/>
          <w:lang w:val="vi-VN"/>
        </w:rPr>
        <w:lastRenderedPageBreak/>
        <w:t>nhân dân, Viện kiểm sát nhân dân; trường hợp kinh phí được cấp không đủ thì lập dự toán để cấp bổ sung bảo đảm chi trả kịp thời, đầy đủ chi phí giám định tư pháp và chi phí tham dự phiên tòa của người giám định theo quy định của pháp luật về ngân sách nhà nước.</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5. Chánh án Tòa án nhân dân tối cao quy định việc bố trí vị trí của người giám định tư pháp khi tham gia tố tụng tại phiên tòa.</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6. Viện kiểm sát nhân dân tối cao có trách nhiệm chủ trì, phối hợp với Bộ Tư pháp trong việc thành lập, củng cố, kiện toàn tổ chức của Phòng giám định kỹ thuật hình sự thuộc Viện kiểm sát nhân dân tối cao; đăng tải và cập nhật danh sách giám định viên tư pháp trên cổng thông tin điện tử của Viện kiểm sát nhân dân tối cao, đồng thời gửi danh sách đó cho Bộ Tư pháp; kiểm tra, thanh tra và giải quyết khiếu nại, tố cáo về tổ chức, hoạt động giám định tư pháp của Phòng giám định kỹ thuật hình sự thuộc thẩm quyền quản lý; hằng năm, đánh giá chất lượng hoạt động giám định tư pháp thuộc thẩm quyền quản lý; kịp thời tôn vinh, khen thưởng cá nhân, tổ chức giám định tư pháp thuộc thẩm quyền quản lý có thành tích xuất sắc trong hoạt động giám định tư pháp; trước ngày 31 tháng 12 hằng năm, tổng kết về tổ chức, hoạt động giám định tư pháp thuộc thẩm quyền quản lý và gửi báo cáo về Bộ Tư pháp để tổng hợp báo cáo Chính phủ.”.</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96" w:name="dieu_27"/>
      <w:r w:rsidRPr="002C7640">
        <w:rPr>
          <w:rFonts w:ascii="Times New Roman" w:eastAsia="Times New Roman" w:hAnsi="Times New Roman" w:cs="Times New Roman"/>
          <w:sz w:val="24"/>
          <w:szCs w:val="24"/>
          <w:lang w:val="vi-VN"/>
        </w:rPr>
        <w:t>27. Bãi bỏ</w:t>
      </w:r>
      <w:r w:rsidRPr="002C7640">
        <w:rPr>
          <w:rFonts w:ascii="Times New Roman" w:eastAsia="Times New Roman" w:hAnsi="Times New Roman" w:cs="Times New Roman"/>
          <w:sz w:val="24"/>
          <w:szCs w:val="24"/>
        </w:rPr>
        <w:t xml:space="preserve"> </w:t>
      </w:r>
      <w:bookmarkStart w:id="97" w:name="dc_43"/>
      <w:bookmarkEnd w:id="96"/>
      <w:r w:rsidRPr="002C7640">
        <w:rPr>
          <w:rFonts w:ascii="Times New Roman" w:eastAsia="Times New Roman" w:hAnsi="Times New Roman" w:cs="Times New Roman"/>
          <w:sz w:val="24"/>
          <w:szCs w:val="24"/>
          <w:lang w:val="vi-VN"/>
        </w:rPr>
        <w:t xml:space="preserve">khoản 3 Điều 45 </w:t>
      </w:r>
      <w:bookmarkEnd w:id="97"/>
      <w:r w:rsidRPr="002C7640">
        <w:rPr>
          <w:rFonts w:ascii="Times New Roman" w:eastAsia="Times New Roman" w:hAnsi="Times New Roman" w:cs="Times New Roman"/>
          <w:sz w:val="24"/>
          <w:szCs w:val="24"/>
          <w:lang w:val="vi-VN"/>
        </w:rPr>
        <w:t>.</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98" w:name="dieu_28"/>
      <w:r w:rsidRPr="002C7640">
        <w:rPr>
          <w:rFonts w:ascii="Times New Roman" w:eastAsia="Times New Roman" w:hAnsi="Times New Roman" w:cs="Times New Roman"/>
          <w:sz w:val="24"/>
          <w:szCs w:val="24"/>
          <w:lang w:val="vi-VN"/>
        </w:rPr>
        <w:t>28. Thay thế cụm từ “cơ quan chuyên môn của Ủy ban nhân dân cấp tỉnh” bằng cụm từ “cơ quan chuyên môn thuộc Ủy ban nhân dân cấp tỉnh” tại</w:t>
      </w:r>
      <w:r w:rsidRPr="002C7640">
        <w:rPr>
          <w:rFonts w:ascii="Times New Roman" w:eastAsia="Times New Roman" w:hAnsi="Times New Roman" w:cs="Times New Roman"/>
          <w:sz w:val="24"/>
          <w:szCs w:val="24"/>
        </w:rPr>
        <w:t xml:space="preserve"> </w:t>
      </w:r>
      <w:bookmarkStart w:id="99" w:name="dc_44"/>
      <w:bookmarkEnd w:id="98"/>
      <w:r w:rsidRPr="002C7640">
        <w:rPr>
          <w:rFonts w:ascii="Times New Roman" w:eastAsia="Times New Roman" w:hAnsi="Times New Roman" w:cs="Times New Roman"/>
          <w:sz w:val="24"/>
          <w:szCs w:val="24"/>
          <w:lang w:val="vi-VN"/>
        </w:rPr>
        <w:t xml:space="preserve">khoản 3 Điều 16, khoản 3 Điều 17 và khoản 3 Điều 19 </w:t>
      </w:r>
      <w:bookmarkEnd w:id="99"/>
      <w:r w:rsidRPr="002C7640">
        <w:rPr>
          <w:rFonts w:ascii="Times New Roman" w:eastAsia="Times New Roman" w:hAnsi="Times New Roman" w:cs="Times New Roman"/>
          <w:sz w:val="24"/>
          <w:szCs w:val="24"/>
          <w:lang w:val="vi-VN"/>
        </w:rPr>
        <w:t>.</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bookmarkStart w:id="100" w:name="dieu_2_1"/>
      <w:r w:rsidRPr="002C7640">
        <w:rPr>
          <w:rFonts w:ascii="Times New Roman" w:eastAsia="Times New Roman" w:hAnsi="Times New Roman" w:cs="Times New Roman"/>
          <w:b/>
          <w:bCs/>
          <w:sz w:val="24"/>
          <w:szCs w:val="24"/>
          <w:lang w:val="vi-VN"/>
        </w:rPr>
        <w:t>Điều 2. Hiệu lực thi hành</w:t>
      </w:r>
      <w:r w:rsidRPr="002C7640">
        <w:rPr>
          <w:rFonts w:ascii="Times New Roman" w:eastAsia="Times New Roman" w:hAnsi="Times New Roman" w:cs="Times New Roman"/>
          <w:sz w:val="24"/>
          <w:szCs w:val="24"/>
        </w:rPr>
        <w:t xml:space="preserve"> </w:t>
      </w:r>
      <w:bookmarkEnd w:id="100"/>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24"/>
          <w:szCs w:val="24"/>
          <w:lang w:val="vi-VN"/>
        </w:rPr>
        <w:t>Luật này có hiệu lực thi hành từ ngày 01 tháng 01 năm 2021.</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i/>
          <w:iCs/>
          <w:sz w:val="24"/>
          <w:szCs w:val="24"/>
          <w:lang w:val="vi-VN"/>
        </w:rPr>
        <w:t>Luật này được Quốc hội nước Cộng hòa xã hội chủ nghĩa Việt Nam khóa XIV, kỳ họp thứ 9 thông qua ngày 10 tháng 6 năm 2020.</w:t>
      </w:r>
    </w:p>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i/>
          <w:iCs/>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2C7640" w:rsidRPr="002C7640" w:rsidTr="002C7640">
        <w:trPr>
          <w:tblCellSpacing w:w="0" w:type="dxa"/>
        </w:trPr>
        <w:tc>
          <w:tcPr>
            <w:tcW w:w="4428" w:type="dxa"/>
            <w:tcMar>
              <w:top w:w="0" w:type="dxa"/>
              <w:left w:w="108" w:type="dxa"/>
              <w:bottom w:w="0" w:type="dxa"/>
              <w:right w:w="108" w:type="dxa"/>
            </w:tcMar>
            <w:hideMark/>
          </w:tcPr>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sz w:val="16"/>
                <w:szCs w:val="16"/>
              </w:rPr>
              <w:t> </w:t>
            </w:r>
          </w:p>
        </w:tc>
        <w:tc>
          <w:tcPr>
            <w:tcW w:w="4428" w:type="dxa"/>
            <w:tcMar>
              <w:top w:w="0" w:type="dxa"/>
              <w:left w:w="108" w:type="dxa"/>
              <w:bottom w:w="0" w:type="dxa"/>
              <w:right w:w="108" w:type="dxa"/>
            </w:tcMar>
            <w:hideMark/>
          </w:tcPr>
          <w:p w:rsidR="002C7640" w:rsidRPr="002C7640" w:rsidRDefault="002C7640" w:rsidP="002C7640">
            <w:pPr>
              <w:spacing w:before="120" w:after="100" w:afterAutospacing="1" w:line="240" w:lineRule="auto"/>
              <w:jc w:val="center"/>
              <w:rPr>
                <w:rFonts w:ascii="Times New Roman" w:eastAsia="Times New Roman" w:hAnsi="Times New Roman" w:cs="Times New Roman"/>
                <w:sz w:val="24"/>
                <w:szCs w:val="24"/>
              </w:rPr>
            </w:pPr>
            <w:r w:rsidRPr="002C7640">
              <w:rPr>
                <w:rFonts w:ascii="Times New Roman" w:eastAsia="Times New Roman" w:hAnsi="Times New Roman" w:cs="Times New Roman"/>
                <w:b/>
                <w:bCs/>
                <w:sz w:val="24"/>
                <w:szCs w:val="24"/>
                <w:lang w:val="vi-VN"/>
              </w:rPr>
              <w:t xml:space="preserve">CHỦ TỊCH QUỐC HỘI </w:t>
            </w:r>
            <w:r w:rsidRPr="002C7640">
              <w:rPr>
                <w:rFonts w:ascii="Times New Roman" w:eastAsia="Times New Roman" w:hAnsi="Times New Roman" w:cs="Times New Roman"/>
                <w:b/>
                <w:bCs/>
                <w:sz w:val="24"/>
                <w:szCs w:val="24"/>
              </w:rPr>
              <w:br/>
            </w:r>
            <w:r w:rsidRPr="002C7640">
              <w:rPr>
                <w:rFonts w:ascii="Times New Roman" w:eastAsia="Times New Roman" w:hAnsi="Times New Roman" w:cs="Times New Roman"/>
                <w:b/>
                <w:bCs/>
                <w:sz w:val="24"/>
                <w:szCs w:val="24"/>
              </w:rPr>
              <w:br/>
            </w:r>
            <w:r w:rsidRPr="002C7640">
              <w:rPr>
                <w:rFonts w:ascii="Times New Roman" w:eastAsia="Times New Roman" w:hAnsi="Times New Roman" w:cs="Times New Roman"/>
                <w:b/>
                <w:bCs/>
                <w:sz w:val="24"/>
                <w:szCs w:val="24"/>
                <w:lang w:val="vi-VN"/>
              </w:rPr>
              <w:br/>
            </w:r>
            <w:r w:rsidRPr="002C7640">
              <w:rPr>
                <w:rFonts w:ascii="Times New Roman" w:eastAsia="Times New Roman" w:hAnsi="Times New Roman" w:cs="Times New Roman"/>
                <w:b/>
                <w:bCs/>
                <w:sz w:val="24"/>
                <w:szCs w:val="24"/>
              </w:rPr>
              <w:br/>
            </w:r>
            <w:r w:rsidRPr="002C7640">
              <w:rPr>
                <w:rFonts w:ascii="Times New Roman" w:eastAsia="Times New Roman" w:hAnsi="Times New Roman" w:cs="Times New Roman"/>
                <w:b/>
                <w:bCs/>
                <w:sz w:val="24"/>
                <w:szCs w:val="24"/>
              </w:rPr>
              <w:br/>
              <w:t>N</w:t>
            </w:r>
            <w:r w:rsidRPr="002C7640">
              <w:rPr>
                <w:rFonts w:ascii="Times New Roman" w:eastAsia="Times New Roman" w:hAnsi="Times New Roman" w:cs="Times New Roman"/>
                <w:b/>
                <w:bCs/>
                <w:sz w:val="24"/>
                <w:szCs w:val="24"/>
                <w:lang w:val="vi-VN"/>
              </w:rPr>
              <w:t>guyễn Thị Kim Ngân</w:t>
            </w:r>
          </w:p>
        </w:tc>
      </w:tr>
    </w:tbl>
    <w:p w:rsidR="002C7640" w:rsidRPr="002C7640" w:rsidRDefault="002C7640" w:rsidP="002C7640">
      <w:pPr>
        <w:spacing w:before="120" w:after="100" w:afterAutospacing="1" w:line="240" w:lineRule="auto"/>
        <w:rPr>
          <w:rFonts w:ascii="Times New Roman" w:eastAsia="Times New Roman" w:hAnsi="Times New Roman" w:cs="Times New Roman"/>
          <w:sz w:val="24"/>
          <w:szCs w:val="24"/>
        </w:rPr>
      </w:pPr>
      <w:r w:rsidRPr="002C7640">
        <w:rPr>
          <w:rFonts w:ascii="Times New Roman" w:eastAsia="Times New Roman" w:hAnsi="Times New Roman" w:cs="Times New Roman"/>
          <w:i/>
          <w:iCs/>
          <w:sz w:val="24"/>
          <w:szCs w:val="24"/>
        </w:rPr>
        <w:t> </w:t>
      </w:r>
    </w:p>
    <w:p w:rsidR="00CC360D" w:rsidRPr="002C7640" w:rsidRDefault="00CC360D">
      <w:pPr>
        <w:rPr>
          <w:rFonts w:ascii="VNI Times" w:hAnsi="VNI Times"/>
        </w:rPr>
      </w:pPr>
      <w:bookmarkStart w:id="101" w:name="_GoBack"/>
      <w:bookmarkEnd w:id="101"/>
    </w:p>
    <w:sectPr w:rsidR="00CC360D" w:rsidRPr="002C7640" w:rsidSect="002E2658">
      <w:pgSz w:w="11907" w:h="16840" w:code="9"/>
      <w:pgMar w:top="737" w:right="1134" w:bottom="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I Times">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09B"/>
    <w:rsid w:val="002C7640"/>
    <w:rsid w:val="002E2658"/>
    <w:rsid w:val="005E109B"/>
    <w:rsid w:val="00CC36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D2CC14-E0C9-42EF-AB0F-F769BF64B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C764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708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5594</Words>
  <Characters>31891</Characters>
  <Application>Microsoft Office Word</Application>
  <DocSecurity>0</DocSecurity>
  <Lines>265</Lines>
  <Paragraphs>74</Paragraphs>
  <ScaleCrop>false</ScaleCrop>
  <Company/>
  <LinksUpToDate>false</LinksUpToDate>
  <CharactersWithSpaces>37411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2020-08-07T03:12:00Z</dcterms:created>
  <dcterms:modified xsi:type="dcterms:W3CDTF">2020-08-07T03:13:00Z</dcterms:modified>
</cp:coreProperties>
</file>